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917" w:rsidRDefault="00717917" w:rsidP="0071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Georgia" w:eastAsia="Times New Roman" w:hAnsi="Georgia" w:cs="Courier New"/>
          <w:b/>
          <w:sz w:val="28"/>
          <w:szCs w:val="28"/>
        </w:rPr>
      </w:pPr>
      <w:r w:rsidRPr="00717917">
        <w:rPr>
          <w:rFonts w:ascii="Georgia" w:eastAsia="Times New Roman" w:hAnsi="Georgia" w:cs="Courier New"/>
          <w:b/>
          <w:sz w:val="28"/>
          <w:szCs w:val="28"/>
        </w:rPr>
        <w:t>Intercambio de experiencias en la Universidad Nacional del Litoral</w:t>
      </w:r>
      <w:r>
        <w:rPr>
          <w:rFonts w:ascii="Georgia" w:eastAsia="Times New Roman" w:hAnsi="Georgia" w:cs="Courier New"/>
          <w:b/>
          <w:sz w:val="28"/>
          <w:szCs w:val="28"/>
        </w:rPr>
        <w:t xml:space="preserve"> </w:t>
      </w:r>
    </w:p>
    <w:p w:rsidR="00717917" w:rsidRPr="00717917" w:rsidRDefault="00717917" w:rsidP="0071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Georgia" w:eastAsia="Times New Roman" w:hAnsi="Georgia" w:cs="Courier New"/>
          <w:sz w:val="16"/>
          <w:szCs w:val="16"/>
        </w:rPr>
      </w:pPr>
    </w:p>
    <w:p w:rsidR="00717917" w:rsidRDefault="00717917" w:rsidP="0071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Georgia" w:eastAsia="Times New Roman" w:hAnsi="Georgia" w:cs="Courier New"/>
        </w:rPr>
      </w:pPr>
      <w:r>
        <w:rPr>
          <w:rFonts w:ascii="Georgia" w:eastAsia="Times New Roman" w:hAnsi="Georgia" w:cs="Courier New"/>
        </w:rPr>
        <w:t xml:space="preserve">El pasado mes de octubre se desarrolló, satisfactoriamente, una </w:t>
      </w:r>
      <w:r w:rsidRPr="00717917">
        <w:rPr>
          <w:rFonts w:ascii="Georgia" w:eastAsia="Times New Roman" w:hAnsi="Georgia" w:cs="Courier New"/>
        </w:rPr>
        <w:t xml:space="preserve">teleconferencia </w:t>
      </w:r>
      <w:r>
        <w:rPr>
          <w:rFonts w:ascii="Georgia" w:eastAsia="Times New Roman" w:hAnsi="Georgia" w:cs="Courier New"/>
        </w:rPr>
        <w:t>con la participación de especialistas de México, Cuba y Argentina, cuyo tema central fue el proceso de alineamiento de la Estrategia en las Instituciones de Educación Superior con los recursos presupuestarios, la cual estuvo dirigida a los miembros de la comunidad universitaria de la Universidad Nacional del Litoral.</w:t>
      </w:r>
    </w:p>
    <w:p w:rsidR="00717917" w:rsidRDefault="00717917" w:rsidP="0071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Georgia" w:eastAsia="Times New Roman" w:hAnsi="Georgia" w:cs="Courier New"/>
        </w:rPr>
      </w:pPr>
    </w:p>
    <w:p w:rsidR="00717917" w:rsidRDefault="00717917" w:rsidP="0071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Georgia" w:eastAsia="Times New Roman" w:hAnsi="Georgia" w:cs="Courier New"/>
        </w:rPr>
      </w:pPr>
    </w:p>
    <w:p w:rsidR="00717917" w:rsidRDefault="00717917" w:rsidP="0071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Georgia" w:eastAsia="Times New Roman" w:hAnsi="Georgia" w:cs="Courier New"/>
          <w:b/>
          <w:sz w:val="28"/>
          <w:szCs w:val="28"/>
        </w:rPr>
      </w:pPr>
      <w:r w:rsidRPr="00717917">
        <w:rPr>
          <w:rFonts w:ascii="Georgia" w:eastAsia="Times New Roman" w:hAnsi="Georgia" w:cs="Courier New"/>
          <w:b/>
          <w:sz w:val="28"/>
          <w:szCs w:val="28"/>
        </w:rPr>
        <w:t>Avances en la investigación conjunta entre las IES miembros de la RED-DEES y la AUGM</w:t>
      </w:r>
    </w:p>
    <w:p w:rsidR="00717917" w:rsidRPr="004C5ADF" w:rsidRDefault="00717917" w:rsidP="0071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Georgia" w:eastAsia="Times New Roman" w:hAnsi="Georgia" w:cs="Courier New"/>
          <w:b/>
          <w:sz w:val="16"/>
          <w:szCs w:val="16"/>
        </w:rPr>
      </w:pPr>
    </w:p>
    <w:p w:rsidR="004C5ADF" w:rsidRPr="004C5ADF" w:rsidRDefault="00717917" w:rsidP="004C5ADF">
      <w:pPr>
        <w:spacing w:after="0" w:line="360" w:lineRule="auto"/>
        <w:jc w:val="both"/>
        <w:rPr>
          <w:rFonts w:ascii="Georgia" w:hAnsi="Georgia" w:cs="Arial"/>
        </w:rPr>
      </w:pPr>
      <w:r w:rsidRPr="004C5ADF">
        <w:rPr>
          <w:rFonts w:ascii="Georgia" w:eastAsia="Times New Roman" w:hAnsi="Georgia" w:cs="Courier New"/>
        </w:rPr>
        <w:t>El proyecto de investigación conjunta</w:t>
      </w:r>
      <w:r w:rsidR="004C5ADF" w:rsidRPr="004C5ADF">
        <w:rPr>
          <w:rFonts w:ascii="Georgia" w:hAnsi="Georgia" w:cs="Arial"/>
        </w:rPr>
        <w:t xml:space="preserve"> </w:t>
      </w:r>
      <w:r w:rsidR="004C5ADF">
        <w:rPr>
          <w:rFonts w:ascii="Georgia" w:hAnsi="Georgia" w:cs="Arial"/>
        </w:rPr>
        <w:t>“</w:t>
      </w:r>
      <w:r w:rsidR="004C5ADF" w:rsidRPr="004C5ADF">
        <w:rPr>
          <w:rFonts w:ascii="Georgia" w:hAnsi="Georgia" w:cs="Arial"/>
        </w:rPr>
        <w:t>La práctica de la planificación o el planeamiento</w:t>
      </w:r>
      <w:r w:rsidR="004C5ADF" w:rsidRPr="004C5ADF">
        <w:rPr>
          <w:rFonts w:ascii="Georgia" w:hAnsi="Georgia" w:cs="Arial"/>
          <w:color w:val="FF0000"/>
        </w:rPr>
        <w:t xml:space="preserve"> </w:t>
      </w:r>
      <w:r w:rsidR="004C5ADF" w:rsidRPr="004C5ADF">
        <w:rPr>
          <w:rFonts w:ascii="Georgia" w:hAnsi="Georgia" w:cs="Arial"/>
        </w:rPr>
        <w:t>en las Instituciones de Educación Superior</w:t>
      </w:r>
      <w:r w:rsidR="004C5ADF">
        <w:rPr>
          <w:rFonts w:ascii="Georgia" w:hAnsi="Georgia" w:cs="Arial"/>
        </w:rPr>
        <w:t>”</w:t>
      </w:r>
      <w:r w:rsidR="004C5ADF" w:rsidRPr="004C5ADF">
        <w:rPr>
          <w:rFonts w:ascii="Georgia" w:hAnsi="Georgia" w:cs="Arial"/>
        </w:rPr>
        <w:t xml:space="preserve"> de la RED-DEES y de la AUGM: </w:t>
      </w:r>
      <w:r w:rsidR="004C5ADF" w:rsidRPr="004C5ADF">
        <w:rPr>
          <w:rFonts w:ascii="Georgia" w:hAnsi="Georgia" w:cs="Arial"/>
          <w:lang w:val="es-AR"/>
        </w:rPr>
        <w:t>análisis exploratorio con enfoque comparativo entre 2010 y 2015</w:t>
      </w:r>
      <w:r w:rsidR="004C5ADF">
        <w:rPr>
          <w:rFonts w:ascii="Georgia" w:hAnsi="Georgia" w:cs="Arial"/>
          <w:lang w:val="es-AR"/>
        </w:rPr>
        <w:t>, en la cual participan varias IES de</w:t>
      </w:r>
      <w:r w:rsidRPr="004C5ADF">
        <w:rPr>
          <w:rFonts w:ascii="Georgia" w:eastAsia="Times New Roman" w:hAnsi="Georgia" w:cs="Courier New"/>
        </w:rPr>
        <w:t xml:space="preserve"> la RED-DEES y </w:t>
      </w:r>
      <w:r w:rsidR="004C5ADF">
        <w:rPr>
          <w:rFonts w:ascii="Georgia" w:eastAsia="Times New Roman" w:hAnsi="Georgia" w:cs="Courier New"/>
        </w:rPr>
        <w:t xml:space="preserve">del </w:t>
      </w:r>
      <w:r w:rsidRPr="004C5ADF">
        <w:rPr>
          <w:rFonts w:ascii="Georgia" w:eastAsia="Times New Roman" w:hAnsi="Georgia" w:cs="Courier New"/>
        </w:rPr>
        <w:t>Núcleo</w:t>
      </w:r>
      <w:r w:rsidR="004C5ADF" w:rsidRPr="004C5ADF">
        <w:rPr>
          <w:rFonts w:ascii="Georgia" w:hAnsi="Georgia" w:cs="Arial"/>
        </w:rPr>
        <w:t xml:space="preserve"> </w:t>
      </w:r>
      <w:r w:rsidR="004C5ADF" w:rsidRPr="004C5ADF">
        <w:rPr>
          <w:rFonts w:ascii="Georgia" w:hAnsi="Georgia" w:cs="Arial"/>
        </w:rPr>
        <w:t>Disciplinario de Evaluación Institucional, Pla</w:t>
      </w:r>
      <w:r w:rsidR="004C5ADF">
        <w:rPr>
          <w:rFonts w:ascii="Georgia" w:hAnsi="Georgia" w:cs="Arial"/>
        </w:rPr>
        <w:t>neamiento Estratégico y Gestión</w:t>
      </w:r>
      <w:r w:rsidR="004C5ADF" w:rsidRPr="004C5ADF">
        <w:rPr>
          <w:rFonts w:ascii="Georgia" w:hAnsi="Georgia" w:cs="Arial"/>
        </w:rPr>
        <w:t xml:space="preserve"> de la Asociación de Universidades Grupo Montevideo</w:t>
      </w:r>
      <w:r w:rsidRPr="004C5ADF">
        <w:rPr>
          <w:rFonts w:ascii="Georgia" w:eastAsia="Times New Roman" w:hAnsi="Georgia" w:cs="Courier New"/>
        </w:rPr>
        <w:t>, culminó su primera fase relacionada con la elaboración de los reportes institucionales a partir de un formulario diseñado para obtener información relevante sobre</w:t>
      </w:r>
      <w:r w:rsidR="004C5ADF">
        <w:rPr>
          <w:rFonts w:ascii="Georgia" w:eastAsia="Times New Roman" w:hAnsi="Georgia" w:cs="Courier New"/>
        </w:rPr>
        <w:t>: a</w:t>
      </w:r>
      <w:r w:rsidR="004C5ADF" w:rsidRPr="004C5ADF">
        <w:rPr>
          <w:rFonts w:ascii="Georgia" w:hAnsi="Georgia" w:cs="Arial"/>
        </w:rPr>
        <w:t xml:space="preserve">ctividades de planificación y de programación en las IES; la </w:t>
      </w:r>
      <w:r w:rsidR="004C5ADF">
        <w:rPr>
          <w:rFonts w:ascii="Georgia" w:hAnsi="Georgia" w:cs="Arial"/>
          <w:lang w:val="es-AR"/>
        </w:rPr>
        <w:t>i</w:t>
      </w:r>
      <w:r w:rsidR="004C5ADF" w:rsidRPr="004C5ADF">
        <w:rPr>
          <w:rFonts w:ascii="Georgia" w:hAnsi="Georgia" w:cs="Arial"/>
          <w:lang w:val="es-AR"/>
        </w:rPr>
        <w:t xml:space="preserve">nstitucionalización de la función de planificación; </w:t>
      </w:r>
      <w:r w:rsidR="004C5ADF">
        <w:rPr>
          <w:rFonts w:ascii="Georgia" w:hAnsi="Georgia" w:cs="Arial"/>
        </w:rPr>
        <w:t>la e</w:t>
      </w:r>
      <w:r w:rsidR="004C5ADF" w:rsidRPr="004C5ADF">
        <w:rPr>
          <w:rFonts w:ascii="Georgia" w:hAnsi="Georgia" w:cs="Arial"/>
        </w:rPr>
        <w:t xml:space="preserve">structura y funciones de las unidades o áreas centrales de planificación; </w:t>
      </w:r>
      <w:r w:rsidR="004C5ADF">
        <w:rPr>
          <w:rFonts w:ascii="Georgia" w:hAnsi="Georgia" w:cs="Arial"/>
        </w:rPr>
        <w:t>las r</w:t>
      </w:r>
      <w:r w:rsidR="004C5ADF" w:rsidRPr="004C5ADF">
        <w:rPr>
          <w:rFonts w:ascii="Georgia" w:hAnsi="Georgia" w:cs="Arial"/>
        </w:rPr>
        <w:t xml:space="preserve">elaciones de la planificación con los procesos de evaluación y acreditación; los </w:t>
      </w:r>
      <w:r w:rsidR="004C5ADF">
        <w:rPr>
          <w:rFonts w:ascii="Georgia" w:hAnsi="Georgia" w:cs="Arial"/>
        </w:rPr>
        <w:t>s</w:t>
      </w:r>
      <w:r w:rsidR="004C5ADF" w:rsidRPr="004C5ADF">
        <w:rPr>
          <w:rFonts w:ascii="Georgia" w:hAnsi="Georgia" w:cs="Arial"/>
        </w:rPr>
        <w:t>istemas de información</w:t>
      </w:r>
      <w:r w:rsidR="004C5ADF">
        <w:rPr>
          <w:rFonts w:ascii="Georgia" w:hAnsi="Georgia" w:cs="Arial"/>
        </w:rPr>
        <w:t xml:space="preserve"> de apoyo a la planificación</w:t>
      </w:r>
      <w:r w:rsidR="004C5ADF" w:rsidRPr="004C5ADF">
        <w:rPr>
          <w:rFonts w:ascii="Georgia" w:hAnsi="Georgia" w:cs="Arial"/>
        </w:rPr>
        <w:t xml:space="preserve">; </w:t>
      </w:r>
      <w:r w:rsidR="004C5ADF">
        <w:rPr>
          <w:rFonts w:ascii="Georgia" w:hAnsi="Georgia" w:cs="Arial"/>
        </w:rPr>
        <w:t>los e</w:t>
      </w:r>
      <w:r w:rsidR="004C5ADF" w:rsidRPr="004C5ADF">
        <w:rPr>
          <w:rFonts w:ascii="Georgia" w:hAnsi="Georgia" w:cs="Arial"/>
        </w:rPr>
        <w:t xml:space="preserve">nfoques </w:t>
      </w:r>
      <w:r w:rsidR="004C5ADF">
        <w:rPr>
          <w:rFonts w:ascii="Georgia" w:hAnsi="Georgia" w:cs="Arial"/>
        </w:rPr>
        <w:t>y</w:t>
      </w:r>
      <w:r w:rsidR="004C5ADF" w:rsidRPr="004C5ADF">
        <w:rPr>
          <w:rFonts w:ascii="Georgia" w:hAnsi="Georgia" w:cs="Arial"/>
          <w:lang w:val="es-AR"/>
        </w:rPr>
        <w:t xml:space="preserve"> </w:t>
      </w:r>
      <w:r w:rsidR="004C5ADF">
        <w:rPr>
          <w:rFonts w:ascii="Georgia" w:hAnsi="Georgia" w:cs="Arial"/>
          <w:lang w:val="es-AR"/>
        </w:rPr>
        <w:t>los i</w:t>
      </w:r>
      <w:r w:rsidR="004C5ADF" w:rsidRPr="004C5ADF">
        <w:rPr>
          <w:rFonts w:ascii="Georgia" w:hAnsi="Georgia" w:cs="Arial"/>
        </w:rPr>
        <w:t xml:space="preserve">nstrumentos de gestión </w:t>
      </w:r>
      <w:r w:rsidR="004C5ADF">
        <w:rPr>
          <w:rFonts w:ascii="Georgia" w:hAnsi="Georgia" w:cs="Arial"/>
        </w:rPr>
        <w:t xml:space="preserve">utilizados </w:t>
      </w:r>
      <w:r w:rsidR="004C5ADF" w:rsidRPr="004C5ADF">
        <w:rPr>
          <w:rFonts w:ascii="Georgia" w:hAnsi="Georgia" w:cs="Arial"/>
        </w:rPr>
        <w:t xml:space="preserve">y </w:t>
      </w:r>
      <w:r w:rsidR="004C5ADF">
        <w:rPr>
          <w:rFonts w:ascii="Georgia" w:hAnsi="Georgia" w:cs="Arial"/>
        </w:rPr>
        <w:t>el p</w:t>
      </w:r>
      <w:r w:rsidR="004C5ADF" w:rsidRPr="004C5ADF">
        <w:rPr>
          <w:rFonts w:ascii="Georgia" w:hAnsi="Georgia" w:cs="Arial"/>
        </w:rPr>
        <w:t xml:space="preserve">lan estratégico o plan de desarrollo institucional. </w:t>
      </w:r>
      <w:bookmarkStart w:id="0" w:name="_GoBack"/>
      <w:bookmarkEnd w:id="0"/>
      <w:r w:rsidR="004C5ADF">
        <w:rPr>
          <w:rFonts w:ascii="Georgia" w:hAnsi="Georgia" w:cs="Arial"/>
        </w:rPr>
        <w:t>Actualmente se está organizando la segunda fase de la investigación, relacionada con el análisis comparado tomando como base un conjunto de parámetros previamente definidos.</w:t>
      </w:r>
    </w:p>
    <w:p w:rsidR="00717917" w:rsidRPr="004C5ADF" w:rsidRDefault="00717917" w:rsidP="004C5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Georgia" w:eastAsia="Times New Roman" w:hAnsi="Georgia" w:cs="Courier New"/>
        </w:rPr>
      </w:pPr>
    </w:p>
    <w:p w:rsidR="00717917" w:rsidRPr="004C5ADF" w:rsidRDefault="00717917" w:rsidP="004C5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Georgia" w:eastAsia="Times New Roman" w:hAnsi="Georgia" w:cs="Courier New"/>
        </w:rPr>
      </w:pPr>
    </w:p>
    <w:p w:rsidR="00717917" w:rsidRPr="004C5ADF" w:rsidRDefault="00717917" w:rsidP="004C5A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Georgia" w:eastAsia="Times New Roman" w:hAnsi="Georgia" w:cs="Courier New"/>
        </w:rPr>
      </w:pPr>
    </w:p>
    <w:p w:rsidR="00717917" w:rsidRPr="00717917" w:rsidRDefault="00717917" w:rsidP="00717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Georgia" w:eastAsia="Times New Roman" w:hAnsi="Georgia" w:cs="Courier New"/>
        </w:rPr>
      </w:pPr>
    </w:p>
    <w:p w:rsidR="00F91B62" w:rsidRDefault="00F91B62"/>
    <w:sectPr w:rsidR="00F91B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ADF" w:rsidRDefault="004C5ADF" w:rsidP="004C5ADF">
      <w:pPr>
        <w:spacing w:after="0" w:line="240" w:lineRule="auto"/>
      </w:pPr>
      <w:r>
        <w:separator/>
      </w:r>
    </w:p>
  </w:endnote>
  <w:endnote w:type="continuationSeparator" w:id="0">
    <w:p w:rsidR="004C5ADF" w:rsidRDefault="004C5ADF" w:rsidP="004C5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font245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ADF" w:rsidRDefault="004C5ADF" w:rsidP="004C5ADF">
      <w:pPr>
        <w:spacing w:after="0" w:line="240" w:lineRule="auto"/>
      </w:pPr>
      <w:r>
        <w:separator/>
      </w:r>
    </w:p>
  </w:footnote>
  <w:footnote w:type="continuationSeparator" w:id="0">
    <w:p w:rsidR="004C5ADF" w:rsidRDefault="004C5ADF" w:rsidP="004C5A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917"/>
    <w:rsid w:val="004C5ADF"/>
    <w:rsid w:val="00717917"/>
    <w:rsid w:val="00F9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1EF56E-BEC9-4398-B918-CF663409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paragraph" w:styleId="Heading1">
    <w:name w:val="heading 1"/>
    <w:basedOn w:val="Normal"/>
    <w:next w:val="BodyText"/>
    <w:link w:val="Heading1Char"/>
    <w:qFormat/>
    <w:rsid w:val="004C5ADF"/>
    <w:pPr>
      <w:keepNext/>
      <w:keepLines/>
      <w:suppressAutoHyphens/>
      <w:spacing w:before="480" w:after="0" w:line="276" w:lineRule="auto"/>
      <w:jc w:val="both"/>
      <w:outlineLvl w:val="0"/>
    </w:pPr>
    <w:rPr>
      <w:rFonts w:ascii="Times New Roman" w:eastAsia="WenQuanYi Micro Hei" w:hAnsi="Times New Roman" w:cs="font245"/>
      <w:b/>
      <w:bCs/>
      <w:kern w:val="1"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A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AD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179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17917"/>
    <w:rPr>
      <w:rFonts w:ascii="Courier New" w:eastAsia="Times New Roman" w:hAnsi="Courier New" w:cs="Courier New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4C5ADF"/>
    <w:rPr>
      <w:rFonts w:ascii="Times New Roman" w:eastAsia="WenQuanYi Micro Hei" w:hAnsi="Times New Roman" w:cs="font245"/>
      <w:b/>
      <w:bCs/>
      <w:kern w:val="1"/>
      <w:sz w:val="32"/>
      <w:szCs w:val="28"/>
      <w:lang w:val="es-ES" w:eastAsia="zh-CN"/>
    </w:rPr>
  </w:style>
  <w:style w:type="character" w:customStyle="1" w:styleId="FootnoteCharacters">
    <w:name w:val="Footnote Characters"/>
    <w:rsid w:val="004C5ADF"/>
    <w:rPr>
      <w:vertAlign w:val="superscript"/>
    </w:rPr>
  </w:style>
  <w:style w:type="paragraph" w:styleId="FootnoteText">
    <w:name w:val="footnote text"/>
    <w:basedOn w:val="Normal"/>
    <w:link w:val="FootnoteTextChar"/>
    <w:rsid w:val="004C5ADF"/>
    <w:pPr>
      <w:suppressLineNumbers/>
      <w:suppressAutoHyphens/>
      <w:spacing w:after="200" w:line="276" w:lineRule="auto"/>
      <w:ind w:left="283" w:hanging="283"/>
      <w:jc w:val="both"/>
    </w:pPr>
    <w:rPr>
      <w:rFonts w:ascii="Times New Roman" w:eastAsia="WenQuanYi Micro Hei" w:hAnsi="Times New Roman" w:cs="font245"/>
      <w:kern w:val="1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rsid w:val="004C5ADF"/>
    <w:rPr>
      <w:rFonts w:ascii="Times New Roman" w:eastAsia="WenQuanYi Micro Hei" w:hAnsi="Times New Roman" w:cs="font245"/>
      <w:kern w:val="1"/>
      <w:sz w:val="20"/>
      <w:szCs w:val="20"/>
      <w:lang w:val="es-ES" w:eastAsia="zh-CN"/>
    </w:rPr>
  </w:style>
  <w:style w:type="paragraph" w:styleId="BodyText">
    <w:name w:val="Body Text"/>
    <w:basedOn w:val="Normal"/>
    <w:link w:val="BodyTextChar"/>
    <w:uiPriority w:val="99"/>
    <w:semiHidden/>
    <w:unhideWhenUsed/>
    <w:rsid w:val="004C5AD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ADF"/>
    <w:rPr>
      <w:lang w:val="es-ES"/>
    </w:rPr>
  </w:style>
  <w:style w:type="character" w:styleId="FootnoteReference">
    <w:name w:val="footnote reference"/>
    <w:rsid w:val="004C5ADF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AD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AD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4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</dc:creator>
  <cp:keywords/>
  <dc:description/>
  <cp:lastModifiedBy>Jose Luis</cp:lastModifiedBy>
  <cp:revision>1</cp:revision>
  <dcterms:created xsi:type="dcterms:W3CDTF">2015-11-20T09:37:00Z</dcterms:created>
  <dcterms:modified xsi:type="dcterms:W3CDTF">2015-11-20T10:03:00Z</dcterms:modified>
</cp:coreProperties>
</file>