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D2" w:rsidRDefault="00967681" w:rsidP="00967681">
      <w:pPr>
        <w:pStyle w:val="med"/>
        <w:spacing w:before="0" w:beforeAutospacing="0" w:after="0" w:afterAutospacing="0" w:line="240" w:lineRule="auto"/>
        <w:ind w:right="-7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Instituciones de E</w:t>
      </w:r>
      <w:r w:rsidRPr="00F34062">
        <w:rPr>
          <w:b/>
          <w:sz w:val="22"/>
          <w:szCs w:val="22"/>
        </w:rPr>
        <w:t xml:space="preserve">ducación </w:t>
      </w:r>
      <w:r>
        <w:rPr>
          <w:b/>
          <w:sz w:val="22"/>
          <w:szCs w:val="22"/>
        </w:rPr>
        <w:t>S</w:t>
      </w:r>
      <w:r w:rsidRPr="00F34062">
        <w:rPr>
          <w:b/>
          <w:sz w:val="22"/>
          <w:szCs w:val="22"/>
        </w:rPr>
        <w:t>uperior miembros de la R</w:t>
      </w:r>
      <w:r>
        <w:rPr>
          <w:b/>
          <w:sz w:val="22"/>
          <w:szCs w:val="22"/>
        </w:rPr>
        <w:t>ED-DEES</w:t>
      </w:r>
    </w:p>
    <w:p w:rsidR="00967681" w:rsidRDefault="00B826D2" w:rsidP="00967681">
      <w:pPr>
        <w:pStyle w:val="med"/>
        <w:spacing w:before="0" w:beforeAutospacing="0" w:after="0" w:afterAutospacing="0" w:line="240" w:lineRule="auto"/>
        <w:ind w:right="-7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(Hasta octubre de 2014)</w:t>
      </w:r>
    </w:p>
    <w:p w:rsidR="00967681" w:rsidRPr="008F3302" w:rsidRDefault="00967681" w:rsidP="00967681">
      <w:pPr>
        <w:pStyle w:val="med"/>
        <w:spacing w:before="0" w:beforeAutospacing="0" w:after="0" w:afterAutospacing="0" w:line="240" w:lineRule="auto"/>
        <w:ind w:right="-79"/>
        <w:jc w:val="both"/>
        <w:rPr>
          <w:b/>
          <w:sz w:val="16"/>
          <w:szCs w:val="16"/>
        </w:rPr>
      </w:pPr>
    </w:p>
    <w:tbl>
      <w:tblPr>
        <w:tblW w:w="982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7140"/>
        <w:gridCol w:w="1457"/>
        <w:gridCol w:w="1231"/>
      </w:tblGrid>
      <w:tr w:rsidR="00476195" w:rsidRPr="00046150" w:rsidTr="005A2C4C">
        <w:tc>
          <w:tcPr>
            <w:tcW w:w="7140" w:type="dxa"/>
            <w:shd w:val="clear" w:color="auto" w:fill="F2DBDB"/>
          </w:tcPr>
          <w:p w:rsidR="00476195" w:rsidRPr="00046150" w:rsidRDefault="00476195" w:rsidP="005A2C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150">
              <w:rPr>
                <w:rFonts w:ascii="Arial" w:hAnsi="Arial" w:cs="Arial"/>
                <w:b/>
                <w:bCs/>
                <w:sz w:val="20"/>
                <w:szCs w:val="20"/>
              </w:rPr>
              <w:t>Instituciones de Educación Superior</w:t>
            </w:r>
          </w:p>
        </w:tc>
        <w:tc>
          <w:tcPr>
            <w:tcW w:w="1457" w:type="dxa"/>
            <w:shd w:val="clear" w:color="auto" w:fill="F2DBDB"/>
          </w:tcPr>
          <w:p w:rsidR="00476195" w:rsidRPr="00046150" w:rsidRDefault="00476195" w:rsidP="005A2C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150">
              <w:rPr>
                <w:rFonts w:ascii="Arial" w:hAnsi="Arial" w:cs="Arial"/>
                <w:b/>
                <w:bCs/>
                <w:sz w:val="20"/>
                <w:szCs w:val="20"/>
              </w:rPr>
              <w:t>País</w:t>
            </w:r>
          </w:p>
        </w:tc>
        <w:tc>
          <w:tcPr>
            <w:tcW w:w="1231" w:type="dxa"/>
            <w:shd w:val="clear" w:color="auto" w:fill="F2DBDB"/>
          </w:tcPr>
          <w:p w:rsidR="00476195" w:rsidRPr="00046150" w:rsidRDefault="00476195" w:rsidP="005A2C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150">
              <w:rPr>
                <w:rFonts w:ascii="Arial" w:hAnsi="Arial" w:cs="Arial"/>
                <w:b/>
                <w:bCs/>
                <w:sz w:val="20"/>
                <w:szCs w:val="20"/>
              </w:rPr>
              <w:t>Cantidad</w:t>
            </w:r>
          </w:p>
        </w:tc>
      </w:tr>
      <w:tr w:rsidR="00476195" w:rsidRPr="00E53D9B" w:rsidTr="005A2C4C">
        <w:trPr>
          <w:trHeight w:val="85"/>
        </w:trPr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“Dr. Andrés Bello”*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El Salvador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5A2C4C">
        <w:trPr>
          <w:trHeight w:val="1273"/>
        </w:trPr>
        <w:tc>
          <w:tcPr>
            <w:tcW w:w="7140" w:type="dxa"/>
            <w:shd w:val="clear" w:color="auto" w:fill="auto"/>
          </w:tcPr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del Litoral*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  <w:lang w:eastAsia="en-US"/>
              </w:rPr>
              <w:t>Universidad Nacional de Formosa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Abierta Interamericana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 Tres de Febrero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 xml:space="preserve">Instituto Superior de Profesorado No. 3 “Eduardo </w:t>
            </w:r>
            <w:proofErr w:type="spellStart"/>
            <w:r w:rsidRPr="00C63AFF">
              <w:rPr>
                <w:rFonts w:ascii="Arial" w:hAnsi="Arial" w:cs="Arial"/>
                <w:sz w:val="20"/>
                <w:szCs w:val="20"/>
              </w:rPr>
              <w:t>Lafferiere</w:t>
            </w:r>
            <w:proofErr w:type="spellEnd"/>
            <w:r w:rsidRPr="00C63AFF"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del Nordeste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 Luján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Argentina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</w:tr>
      <w:tr w:rsidR="00476195" w:rsidRPr="00E53D9B" w:rsidTr="005A2C4C">
        <w:trPr>
          <w:trHeight w:val="781"/>
        </w:trPr>
        <w:tc>
          <w:tcPr>
            <w:tcW w:w="7140" w:type="dxa"/>
            <w:shd w:val="clear" w:color="auto" w:fill="auto"/>
          </w:tcPr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Autónoma Metropolitana (Iztapalapa)*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Autónoma de Yucatán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Universidad Juárez del Estado de Durango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Universidad de Sotavento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Universidad de Guanajuato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México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</w:tr>
      <w:tr w:rsidR="00476195" w:rsidRPr="00E53D9B" w:rsidTr="005A2C4C">
        <w:trPr>
          <w:trHeight w:val="610"/>
        </w:trPr>
        <w:tc>
          <w:tcPr>
            <w:tcW w:w="7140" w:type="dxa"/>
            <w:shd w:val="clear" w:color="auto" w:fill="auto"/>
          </w:tcPr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de Cuenca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Tecnológica Empresarial de Guayaquil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Tecnológica ECOTEC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Instituto Superior Tecnológico Bolivariano de Tecnología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Instituto Superior Tecnológico de Formación Profesoral Administrativo y Comercial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Estatal Península Santa Elena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Técnica de Machala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Politécnica Estatal del Carchi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Universidad de </w:t>
            </w:r>
            <w:proofErr w:type="spellStart"/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Otavalo</w:t>
            </w:r>
            <w:proofErr w:type="spellEnd"/>
          </w:p>
          <w:p w:rsidR="00476195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Técnica de Babahoyo</w:t>
            </w:r>
          </w:p>
          <w:p w:rsidR="00476195" w:rsidRPr="00C63AFF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930B52">
              <w:rPr>
                <w:rFonts w:ascii="Arial" w:hAnsi="Arial" w:cs="Arial"/>
                <w:sz w:val="20"/>
                <w:szCs w:val="20"/>
              </w:rPr>
              <w:t>Universidad de Guayaquil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Ecuador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de </w:t>
            </w:r>
            <w:smartTag w:uri="urn:schemas-microsoft-com:office:smarttags" w:element="PersonName">
              <w:smartTagPr>
                <w:attr w:name="ProductID" w:val="la Rep￺blica"/>
              </w:smartTagPr>
              <w:r w:rsidRPr="00E53D9B">
                <w:rPr>
                  <w:rFonts w:ascii="Arial" w:hAnsi="Arial" w:cs="Arial"/>
                  <w:sz w:val="20"/>
                  <w:szCs w:val="20"/>
                </w:rPr>
                <w:t>la República</w:t>
              </w:r>
            </w:smartTag>
            <w:r w:rsidRPr="00E53D9B">
              <w:rPr>
                <w:rFonts w:ascii="Arial" w:hAnsi="Arial" w:cs="Arial"/>
                <w:sz w:val="20"/>
                <w:szCs w:val="20"/>
              </w:rPr>
              <w:t xml:space="preserve"> (Facultad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 w:rsidRPr="00E53D9B">
              <w:rPr>
                <w:rFonts w:ascii="Arial" w:hAnsi="Arial" w:cs="Arial"/>
                <w:sz w:val="20"/>
                <w:szCs w:val="20"/>
              </w:rPr>
              <w:t xml:space="preserve"> de Veterinaria y Enfermería)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Uruguay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Privada de Tacna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Perú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Oviedo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España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5A2C4C">
        <w:trPr>
          <w:trHeight w:val="127"/>
        </w:trPr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Federal de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Rondonia</w:t>
            </w:r>
            <w:proofErr w:type="spellEnd"/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Estadual de Londrina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Brasil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Managua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3C8">
              <w:rPr>
                <w:rFonts w:ascii="Arial" w:hAnsi="Arial" w:cs="Arial"/>
                <w:sz w:val="20"/>
                <w:szCs w:val="20"/>
              </w:rPr>
              <w:t>Universidad Nacional de Ingeniería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Nicaragua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  <w:lang w:val="es-ES_tradnl"/>
              </w:rPr>
              <w:t>Instituto Superior Politécnico de Kwanza Sul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Angola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de </w:t>
            </w:r>
            <w:smartTag w:uri="urn:schemas-microsoft-com:office:smarttags" w:element="PersonName">
              <w:smartTagPr>
                <w:attr w:name="ProductID" w:val="La Habana"/>
              </w:smartTagPr>
              <w:r w:rsidRPr="00E53D9B">
                <w:rPr>
                  <w:rFonts w:ascii="Arial" w:hAnsi="Arial" w:cs="Arial"/>
                  <w:sz w:val="20"/>
                  <w:szCs w:val="20"/>
                </w:rPr>
                <w:t>La Habana</w:t>
              </w:r>
            </w:smartTag>
            <w:r w:rsidRPr="00E53D9B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Escuela Latinoamericana de Medicina*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Holguín “Oscar Lucero Moya”*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Ciego de Ávila “Máximo Gómez Báez”*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Cienfuegos “Carlos Rafael Rodríguez”*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Sancti Spíritus “José Martí” (CECEES-CETAD)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las Ciencias Informáticas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Instituto Superior Minero Metalúrgico de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Moa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 “Dr. Antonio Núñez Jiménez”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3D2">
              <w:rPr>
                <w:rFonts w:ascii="Arial" w:hAnsi="Arial" w:cs="Arial"/>
                <w:sz w:val="20"/>
                <w:szCs w:val="20"/>
              </w:rPr>
              <w:t>Instituto Superior Politécnico “José Antonio Echeverría”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Central “Marta Abreu” de Las Villas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Agraria de </w:t>
            </w:r>
            <w:smartTag w:uri="urn:schemas-microsoft-com:office:smarttags" w:element="PersonName">
              <w:smartTagPr>
                <w:attr w:name="ProductID" w:val="La Habana"/>
              </w:smartTagPr>
              <w:r w:rsidRPr="00E53D9B">
                <w:rPr>
                  <w:rFonts w:ascii="Arial" w:hAnsi="Arial" w:cs="Arial"/>
                  <w:sz w:val="20"/>
                  <w:szCs w:val="20"/>
                </w:rPr>
                <w:t>La Habana</w:t>
              </w:r>
            </w:smartTag>
            <w:r w:rsidRPr="00E53D9B">
              <w:rPr>
                <w:rFonts w:ascii="Arial" w:hAnsi="Arial" w:cs="Arial"/>
                <w:sz w:val="20"/>
                <w:szCs w:val="20"/>
              </w:rPr>
              <w:t xml:space="preserve"> “Fructuoso Rodríguez Pérez”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Instituto Superior de Diseño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de Pinar del Río “Hermanos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Saíz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 Montes de Oca”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Ciencias Pedagógicas “Félix Varela Morales”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3D9B">
              <w:rPr>
                <w:rFonts w:ascii="Arial" w:hAnsi="Arial" w:cs="Arial"/>
                <w:sz w:val="20"/>
                <w:szCs w:val="20"/>
              </w:rPr>
              <w:t>de Villa Clara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Guantánamo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Cuba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</w:tr>
      <w:tr w:rsidR="00476195" w:rsidRPr="00E53D9B" w:rsidTr="005A2C4C">
        <w:tc>
          <w:tcPr>
            <w:tcW w:w="7140" w:type="dxa"/>
            <w:shd w:val="clear" w:color="auto" w:fill="auto"/>
          </w:tcPr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Augusto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Chipombela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 (Escuela Superior Pedagógica de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Lueji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´ Á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Konde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Angola</w:t>
            </w:r>
          </w:p>
        </w:tc>
        <w:tc>
          <w:tcPr>
            <w:tcW w:w="1231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</w:tbl>
    <w:p w:rsidR="00476195" w:rsidRDefault="00476195" w:rsidP="00476195">
      <w:pPr>
        <w:jc w:val="both"/>
        <w:rPr>
          <w:rFonts w:ascii="Arial" w:hAnsi="Arial" w:cs="Arial"/>
          <w:b/>
          <w:sz w:val="18"/>
          <w:szCs w:val="18"/>
        </w:rPr>
      </w:pPr>
      <w:r w:rsidRPr="00E53D9B">
        <w:rPr>
          <w:rFonts w:ascii="Arial" w:hAnsi="Arial" w:cs="Arial"/>
          <w:b/>
          <w:sz w:val="18"/>
          <w:szCs w:val="18"/>
        </w:rPr>
        <w:t>Nota: (*) IES fundadoras de RED-DEES</w:t>
      </w:r>
      <w:r>
        <w:rPr>
          <w:rFonts w:ascii="Arial" w:hAnsi="Arial" w:cs="Arial"/>
          <w:b/>
          <w:sz w:val="18"/>
          <w:szCs w:val="18"/>
        </w:rPr>
        <w:t xml:space="preserve"> que se mantienen en activo</w:t>
      </w:r>
    </w:p>
    <w:p w:rsidR="00AC361A" w:rsidRDefault="00AC361A">
      <w:pPr>
        <w:rPr>
          <w:sz w:val="16"/>
          <w:szCs w:val="16"/>
        </w:rPr>
      </w:pPr>
    </w:p>
    <w:p w:rsidR="00476195" w:rsidRPr="009C56E5" w:rsidRDefault="00476195" w:rsidP="00476195">
      <w:pPr>
        <w:jc w:val="both"/>
        <w:rPr>
          <w:sz w:val="22"/>
          <w:szCs w:val="22"/>
        </w:rPr>
      </w:pPr>
      <w:r w:rsidRPr="009C56E5">
        <w:rPr>
          <w:sz w:val="22"/>
          <w:szCs w:val="22"/>
        </w:rPr>
        <w:t>En el transcurso del 2014 ingresaron a la RED-DEES nueve IES (9) y un colaborador (1) de seis (6) países, destacándose el ingreso de IES ecuatorianas, cubanas y de Angola.</w:t>
      </w:r>
    </w:p>
    <w:p w:rsidR="00476195" w:rsidRPr="009C56E5" w:rsidRDefault="00476195" w:rsidP="00476195">
      <w:pPr>
        <w:jc w:val="both"/>
        <w:rPr>
          <w:sz w:val="16"/>
          <w:szCs w:val="16"/>
        </w:rPr>
      </w:pP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>Universidad Estadual de Londrina (Brasil)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 xml:space="preserve">Universidad de </w:t>
      </w:r>
      <w:smartTag w:uri="urn:schemas-microsoft-com:office:smarttags" w:element="PersonName">
        <w:smartTagPr>
          <w:attr w:name="ProductID" w:val="la Rep￺blica"/>
        </w:smartTagPr>
        <w:r w:rsidRPr="009C56E5">
          <w:rPr>
            <w:sz w:val="22"/>
            <w:szCs w:val="22"/>
          </w:rPr>
          <w:t>la República</w:t>
        </w:r>
      </w:smartTag>
      <w:r w:rsidRPr="009C56E5">
        <w:rPr>
          <w:sz w:val="22"/>
          <w:szCs w:val="22"/>
        </w:rPr>
        <w:t xml:space="preserve"> - Facultad de Enfermería (Uruguay)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bCs/>
          <w:iCs/>
          <w:sz w:val="22"/>
          <w:szCs w:val="22"/>
        </w:rPr>
      </w:pPr>
      <w:r w:rsidRPr="009C56E5">
        <w:rPr>
          <w:bCs/>
          <w:iCs/>
          <w:sz w:val="22"/>
          <w:szCs w:val="22"/>
        </w:rPr>
        <w:lastRenderedPageBreak/>
        <w:t xml:space="preserve">Universidad de </w:t>
      </w:r>
      <w:proofErr w:type="spellStart"/>
      <w:r w:rsidRPr="009C56E5">
        <w:rPr>
          <w:bCs/>
          <w:iCs/>
          <w:sz w:val="22"/>
          <w:szCs w:val="22"/>
        </w:rPr>
        <w:t>Otavalo</w:t>
      </w:r>
      <w:proofErr w:type="spellEnd"/>
      <w:r w:rsidRPr="009C56E5">
        <w:rPr>
          <w:bCs/>
          <w:iCs/>
          <w:sz w:val="22"/>
          <w:szCs w:val="22"/>
        </w:rPr>
        <w:t xml:space="preserve"> (Ecuador)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 xml:space="preserve">Universidad Técnica de Babahoyo </w:t>
      </w:r>
      <w:r w:rsidRPr="009C56E5">
        <w:rPr>
          <w:bCs/>
          <w:iCs/>
          <w:sz w:val="22"/>
          <w:szCs w:val="22"/>
        </w:rPr>
        <w:t>(Ecuador)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  <w:lang w:val="es-ES_tradnl"/>
        </w:rPr>
      </w:pPr>
      <w:r w:rsidRPr="009C56E5">
        <w:rPr>
          <w:sz w:val="22"/>
          <w:szCs w:val="22"/>
          <w:lang w:val="es-ES_tradnl"/>
        </w:rPr>
        <w:t>Instituto Superior Politécnico de Kwanza Sul (Angola)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>Universidad de Ciencias Pedagógicas “Félix Varela Morales” de Villa Clara (Cuba)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>Universidad de Guantánamo (Cuba)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 xml:space="preserve">Universidad de Guayaquil </w:t>
      </w:r>
      <w:r w:rsidRPr="009C56E5">
        <w:rPr>
          <w:bCs/>
          <w:iCs/>
          <w:sz w:val="22"/>
          <w:szCs w:val="22"/>
        </w:rPr>
        <w:t>(Ecuador)</w:t>
      </w:r>
    </w:p>
    <w:p w:rsidR="00476195" w:rsidRPr="009C56E5" w:rsidRDefault="00476195" w:rsidP="00476195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C56E5">
        <w:rPr>
          <w:sz w:val="22"/>
          <w:szCs w:val="22"/>
        </w:rPr>
        <w:t>Universidad Nacional de Ingeniería (Nicaragua)</w:t>
      </w:r>
    </w:p>
    <w:p w:rsidR="00476195" w:rsidRPr="009C56E5" w:rsidRDefault="00476195" w:rsidP="00476195">
      <w:pPr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sz w:val="22"/>
          <w:szCs w:val="22"/>
          <w:lang w:val="es-ES_tradnl"/>
        </w:rPr>
      </w:pPr>
      <w:r w:rsidRPr="009C56E5">
        <w:rPr>
          <w:sz w:val="22"/>
          <w:szCs w:val="22"/>
        </w:rPr>
        <w:t xml:space="preserve">Colaborador: Augusto </w:t>
      </w:r>
      <w:proofErr w:type="spellStart"/>
      <w:r w:rsidRPr="009C56E5">
        <w:rPr>
          <w:sz w:val="22"/>
          <w:szCs w:val="22"/>
        </w:rPr>
        <w:t>Chipombela</w:t>
      </w:r>
      <w:proofErr w:type="spellEnd"/>
      <w:r w:rsidRPr="009C56E5">
        <w:rPr>
          <w:sz w:val="22"/>
          <w:szCs w:val="22"/>
        </w:rPr>
        <w:t xml:space="preserve"> (Escuela Superior Pedagógica de </w:t>
      </w:r>
      <w:proofErr w:type="spellStart"/>
      <w:r w:rsidRPr="009C56E5">
        <w:rPr>
          <w:sz w:val="22"/>
          <w:szCs w:val="22"/>
        </w:rPr>
        <w:t>Lueji</w:t>
      </w:r>
      <w:proofErr w:type="spellEnd"/>
      <w:r w:rsidRPr="009C56E5">
        <w:rPr>
          <w:sz w:val="22"/>
          <w:szCs w:val="22"/>
        </w:rPr>
        <w:t xml:space="preserve">´ Á </w:t>
      </w:r>
      <w:proofErr w:type="spellStart"/>
      <w:r w:rsidRPr="009C56E5">
        <w:rPr>
          <w:sz w:val="22"/>
          <w:szCs w:val="22"/>
        </w:rPr>
        <w:t>Konde</w:t>
      </w:r>
      <w:proofErr w:type="spellEnd"/>
      <w:r w:rsidRPr="009C56E5">
        <w:rPr>
          <w:sz w:val="22"/>
          <w:szCs w:val="22"/>
        </w:rPr>
        <w:t xml:space="preserve">) (Angola) </w:t>
      </w:r>
    </w:p>
    <w:p w:rsidR="00476195" w:rsidRDefault="00476195" w:rsidP="00476195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086114" w:rsidRDefault="00086114" w:rsidP="00086114">
      <w:pPr>
        <w:pStyle w:val="med"/>
        <w:spacing w:before="0" w:beforeAutospacing="0" w:after="0" w:afterAutospacing="0" w:line="240" w:lineRule="auto"/>
        <w:ind w:left="1260" w:right="-79" w:hanging="1260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Crecimiento tendencial del número de miembros de </w:t>
      </w:r>
      <w:r w:rsidRPr="00F34062">
        <w:rPr>
          <w:b/>
          <w:color w:val="auto"/>
          <w:sz w:val="22"/>
          <w:szCs w:val="22"/>
        </w:rPr>
        <w:t xml:space="preserve">la </w:t>
      </w:r>
      <w:r>
        <w:rPr>
          <w:b/>
          <w:color w:val="auto"/>
          <w:sz w:val="22"/>
          <w:szCs w:val="22"/>
        </w:rPr>
        <w:t>RED-DEES.</w:t>
      </w:r>
    </w:p>
    <w:p w:rsidR="00B826D2" w:rsidRDefault="00B826D2" w:rsidP="00086114">
      <w:pPr>
        <w:pStyle w:val="med"/>
        <w:spacing w:before="0" w:beforeAutospacing="0" w:after="0" w:afterAutospacing="0" w:line="240" w:lineRule="auto"/>
        <w:ind w:left="1260" w:right="-79" w:hanging="1260"/>
        <w:jc w:val="both"/>
        <w:rPr>
          <w:b/>
          <w:color w:val="auto"/>
          <w:sz w:val="22"/>
          <w:szCs w:val="22"/>
        </w:rPr>
      </w:pPr>
    </w:p>
    <w:p w:rsidR="00B826D2" w:rsidRDefault="00B826D2" w:rsidP="00086114">
      <w:pPr>
        <w:pStyle w:val="med"/>
        <w:spacing w:before="0" w:beforeAutospacing="0" w:after="0" w:afterAutospacing="0" w:line="240" w:lineRule="auto"/>
        <w:ind w:left="1260" w:right="-79" w:hanging="1260"/>
        <w:jc w:val="both"/>
        <w:rPr>
          <w:b/>
          <w:color w:val="auto"/>
          <w:sz w:val="22"/>
          <w:szCs w:val="22"/>
        </w:rPr>
      </w:pPr>
    </w:p>
    <w:tbl>
      <w:tblPr>
        <w:tblpPr w:leftFromText="141" w:rightFromText="141" w:vertAnchor="page" w:horzAnchor="margin" w:tblpY="4786"/>
        <w:tblW w:w="893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4"/>
        <w:gridCol w:w="1323"/>
        <w:gridCol w:w="1323"/>
        <w:gridCol w:w="1323"/>
        <w:gridCol w:w="1323"/>
        <w:gridCol w:w="1231"/>
        <w:gridCol w:w="1276"/>
      </w:tblGrid>
      <w:tr w:rsidR="009C56E5" w:rsidRPr="0084701F" w:rsidTr="009C56E5">
        <w:trPr>
          <w:trHeight w:val="504"/>
        </w:trPr>
        <w:tc>
          <w:tcPr>
            <w:tcW w:w="1134" w:type="dxa"/>
            <w:tcBorders>
              <w:top w:val="single" w:sz="18" w:space="0" w:color="2B166E"/>
              <w:left w:val="single" w:sz="18" w:space="0" w:color="2B166E"/>
              <w:bottom w:val="single" w:sz="8" w:space="0" w:color="2B166E"/>
              <w:right w:val="single" w:sz="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C56E5" w:rsidRPr="0084701F" w:rsidRDefault="009C56E5" w:rsidP="009C56E5">
            <w:pPr>
              <w:jc w:val="center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</w:rPr>
              <w:t>Años</w:t>
            </w:r>
          </w:p>
        </w:tc>
        <w:tc>
          <w:tcPr>
            <w:tcW w:w="1323" w:type="dxa"/>
            <w:tcBorders>
              <w:top w:val="single" w:sz="1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2009</w:t>
            </w:r>
          </w:p>
        </w:tc>
        <w:tc>
          <w:tcPr>
            <w:tcW w:w="1323" w:type="dxa"/>
            <w:tcBorders>
              <w:top w:val="single" w:sz="1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2010</w:t>
            </w:r>
          </w:p>
        </w:tc>
        <w:tc>
          <w:tcPr>
            <w:tcW w:w="1323" w:type="dxa"/>
            <w:tcBorders>
              <w:top w:val="single" w:sz="1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2011</w:t>
            </w:r>
          </w:p>
        </w:tc>
        <w:tc>
          <w:tcPr>
            <w:tcW w:w="1323" w:type="dxa"/>
            <w:tcBorders>
              <w:top w:val="single" w:sz="1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2012</w:t>
            </w:r>
          </w:p>
        </w:tc>
        <w:tc>
          <w:tcPr>
            <w:tcW w:w="1231" w:type="dxa"/>
            <w:tcBorders>
              <w:top w:val="single" w:sz="1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2013</w:t>
            </w:r>
          </w:p>
        </w:tc>
        <w:tc>
          <w:tcPr>
            <w:tcW w:w="1276" w:type="dxa"/>
            <w:tcBorders>
              <w:top w:val="single" w:sz="18" w:space="0" w:color="2B166E"/>
              <w:left w:val="single" w:sz="8" w:space="0" w:color="2B166E"/>
              <w:bottom w:val="single" w:sz="8" w:space="0" w:color="2B166E"/>
              <w:right w:val="single" w:sz="18" w:space="0" w:color="2B166E"/>
            </w:tcBorders>
            <w:shd w:val="clear" w:color="auto" w:fill="DBE5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2014</w:t>
            </w:r>
          </w:p>
        </w:tc>
      </w:tr>
      <w:tr w:rsidR="009C56E5" w:rsidRPr="0084701F" w:rsidTr="009C56E5">
        <w:trPr>
          <w:trHeight w:val="681"/>
        </w:trPr>
        <w:tc>
          <w:tcPr>
            <w:tcW w:w="1134" w:type="dxa"/>
            <w:tcBorders>
              <w:top w:val="single" w:sz="8" w:space="0" w:color="2B166E"/>
              <w:left w:val="single" w:sz="18" w:space="0" w:color="2B166E"/>
              <w:bottom w:val="single" w:sz="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Total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11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19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28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30</w:t>
            </w:r>
          </w:p>
        </w:tc>
        <w:tc>
          <w:tcPr>
            <w:tcW w:w="1231" w:type="dxa"/>
            <w:tcBorders>
              <w:top w:val="single" w:sz="8" w:space="0" w:color="2B166E"/>
              <w:left w:val="single" w:sz="8" w:space="0" w:color="2B166E"/>
              <w:bottom w:val="single" w:sz="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41</w:t>
            </w:r>
          </w:p>
        </w:tc>
        <w:tc>
          <w:tcPr>
            <w:tcW w:w="1276" w:type="dxa"/>
            <w:tcBorders>
              <w:top w:val="single" w:sz="8" w:space="0" w:color="2B166E"/>
              <w:left w:val="single" w:sz="8" w:space="0" w:color="2B166E"/>
              <w:bottom w:val="single" w:sz="8" w:space="0" w:color="2B166E"/>
              <w:right w:val="single" w:sz="1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47</w:t>
            </w:r>
          </w:p>
        </w:tc>
      </w:tr>
      <w:tr w:rsidR="009C56E5" w:rsidRPr="0084701F" w:rsidTr="009C56E5">
        <w:trPr>
          <w:trHeight w:val="489"/>
        </w:trPr>
        <w:tc>
          <w:tcPr>
            <w:tcW w:w="1134" w:type="dxa"/>
            <w:tcBorders>
              <w:top w:val="single" w:sz="8" w:space="0" w:color="2B166E"/>
              <w:left w:val="single" w:sz="18" w:space="0" w:color="2B166E"/>
              <w:bottom w:val="single" w:sz="1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Países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1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4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1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6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1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8</w:t>
            </w:r>
          </w:p>
        </w:tc>
        <w:tc>
          <w:tcPr>
            <w:tcW w:w="1323" w:type="dxa"/>
            <w:tcBorders>
              <w:top w:val="single" w:sz="8" w:space="0" w:color="2B166E"/>
              <w:left w:val="single" w:sz="8" w:space="0" w:color="2B166E"/>
              <w:bottom w:val="single" w:sz="1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8</w:t>
            </w:r>
          </w:p>
        </w:tc>
        <w:tc>
          <w:tcPr>
            <w:tcW w:w="1231" w:type="dxa"/>
            <w:tcBorders>
              <w:top w:val="single" w:sz="8" w:space="0" w:color="2B166E"/>
              <w:left w:val="single" w:sz="8" w:space="0" w:color="2B166E"/>
              <w:bottom w:val="single" w:sz="18" w:space="0" w:color="2B166E"/>
              <w:right w:val="single" w:sz="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10</w:t>
            </w:r>
          </w:p>
        </w:tc>
        <w:tc>
          <w:tcPr>
            <w:tcW w:w="1276" w:type="dxa"/>
            <w:tcBorders>
              <w:top w:val="single" w:sz="8" w:space="0" w:color="2B166E"/>
              <w:left w:val="single" w:sz="8" w:space="0" w:color="2B166E"/>
              <w:bottom w:val="single" w:sz="18" w:space="0" w:color="2B166E"/>
              <w:right w:val="single" w:sz="18" w:space="0" w:color="2B166E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56E5" w:rsidRPr="0084701F" w:rsidRDefault="009C56E5" w:rsidP="009C56E5">
            <w:pPr>
              <w:kinsoku w:val="0"/>
              <w:overflowPunct w:val="0"/>
              <w:spacing w:before="12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4701F">
              <w:rPr>
                <w:rFonts w:ascii="Arial" w:hAnsi="Arial" w:cs="Arial"/>
                <w:b/>
                <w:bCs/>
                <w:color w:val="000000"/>
                <w:kern w:val="24"/>
              </w:rPr>
              <w:t>11</w:t>
            </w:r>
          </w:p>
        </w:tc>
      </w:tr>
    </w:tbl>
    <w:p w:rsidR="00B826D2" w:rsidRDefault="00B826D2" w:rsidP="00086114">
      <w:pPr>
        <w:pStyle w:val="med"/>
        <w:spacing w:before="0" w:beforeAutospacing="0" w:after="0" w:afterAutospacing="0" w:line="240" w:lineRule="auto"/>
        <w:ind w:left="1260" w:right="-79" w:hanging="1260"/>
        <w:jc w:val="both"/>
        <w:rPr>
          <w:b/>
          <w:color w:val="auto"/>
          <w:sz w:val="22"/>
          <w:szCs w:val="22"/>
        </w:rPr>
      </w:pPr>
    </w:p>
    <w:p w:rsidR="00AC361A" w:rsidRDefault="00AC361A" w:rsidP="00AC361A">
      <w:pPr>
        <w:pStyle w:val="med"/>
        <w:spacing w:before="0" w:beforeAutospacing="0" w:after="0" w:afterAutospacing="0" w:line="240" w:lineRule="auto"/>
        <w:ind w:right="-79" w:hanging="720"/>
        <w:jc w:val="both"/>
        <w:rPr>
          <w:b/>
          <w:sz w:val="16"/>
          <w:szCs w:val="16"/>
        </w:rPr>
      </w:pPr>
    </w:p>
    <w:p w:rsidR="009C56E5" w:rsidRDefault="009C56E5" w:rsidP="00086114">
      <w:pPr>
        <w:jc w:val="both"/>
        <w:rPr>
          <w:rFonts w:ascii="Arial" w:hAnsi="Arial" w:cs="Arial"/>
          <w:b/>
          <w:sz w:val="22"/>
          <w:szCs w:val="22"/>
        </w:rPr>
      </w:pPr>
    </w:p>
    <w:p w:rsidR="00086114" w:rsidRPr="00086114" w:rsidRDefault="00086114" w:rsidP="00086114">
      <w:pPr>
        <w:jc w:val="both"/>
        <w:rPr>
          <w:rFonts w:ascii="Arial" w:hAnsi="Arial" w:cs="Arial"/>
          <w:sz w:val="22"/>
          <w:szCs w:val="22"/>
        </w:rPr>
      </w:pPr>
      <w:r w:rsidRPr="00086114">
        <w:rPr>
          <w:rFonts w:ascii="Arial" w:hAnsi="Arial" w:cs="Arial"/>
          <w:b/>
          <w:sz w:val="22"/>
          <w:szCs w:val="22"/>
        </w:rPr>
        <w:t>Dimensión cuantitativa de la producción científica de la RED-DEES.</w:t>
      </w:r>
    </w:p>
    <w:p w:rsidR="00476195" w:rsidRDefault="00476195" w:rsidP="00476195">
      <w:pPr>
        <w:tabs>
          <w:tab w:val="left" w:pos="426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:rsidR="00B826D2" w:rsidRDefault="00B826D2" w:rsidP="004D660C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tbl>
      <w:tblPr>
        <w:tblpPr w:leftFromText="141" w:rightFromText="141" w:vertAnchor="page" w:horzAnchor="margin" w:tblpY="861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963"/>
        <w:gridCol w:w="963"/>
        <w:gridCol w:w="963"/>
        <w:gridCol w:w="963"/>
        <w:gridCol w:w="964"/>
        <w:gridCol w:w="1354"/>
      </w:tblGrid>
      <w:tr w:rsidR="009C56E5" w:rsidRPr="0009772A" w:rsidTr="009C56E5">
        <w:trPr>
          <w:trHeight w:val="396"/>
        </w:trPr>
        <w:tc>
          <w:tcPr>
            <w:tcW w:w="2550" w:type="dxa"/>
            <w:shd w:val="clear" w:color="auto" w:fill="D6E3BC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Dimensiones cuantitativas</w:t>
            </w:r>
          </w:p>
        </w:tc>
        <w:tc>
          <w:tcPr>
            <w:tcW w:w="963" w:type="dxa"/>
            <w:shd w:val="clear" w:color="auto" w:fill="D6E3BC"/>
            <w:vAlign w:val="center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2010</w:t>
            </w:r>
          </w:p>
        </w:tc>
        <w:tc>
          <w:tcPr>
            <w:tcW w:w="963" w:type="dxa"/>
            <w:shd w:val="clear" w:color="auto" w:fill="D6E3BC"/>
            <w:vAlign w:val="center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2011</w:t>
            </w:r>
          </w:p>
        </w:tc>
        <w:tc>
          <w:tcPr>
            <w:tcW w:w="963" w:type="dxa"/>
            <w:shd w:val="clear" w:color="auto" w:fill="D6E3BC"/>
            <w:vAlign w:val="center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2012</w:t>
            </w:r>
          </w:p>
        </w:tc>
        <w:tc>
          <w:tcPr>
            <w:tcW w:w="963" w:type="dxa"/>
            <w:shd w:val="clear" w:color="auto" w:fill="D6E3BC"/>
            <w:vAlign w:val="center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2013</w:t>
            </w:r>
          </w:p>
        </w:tc>
        <w:tc>
          <w:tcPr>
            <w:tcW w:w="964" w:type="dxa"/>
            <w:shd w:val="clear" w:color="auto" w:fill="D6E3BC"/>
            <w:vAlign w:val="center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2014</w:t>
            </w:r>
          </w:p>
        </w:tc>
        <w:tc>
          <w:tcPr>
            <w:tcW w:w="1354" w:type="dxa"/>
            <w:shd w:val="clear" w:color="auto" w:fill="D6E3BC"/>
            <w:vAlign w:val="center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Proyectos ejecutados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18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15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26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30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Acciones de posgrado</w:t>
            </w:r>
            <w:r w:rsidRPr="0009772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16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10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7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14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11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58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Libros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0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11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 xml:space="preserve">Monografías 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8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 xml:space="preserve">Artículos 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12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2</w:t>
            </w: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50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68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171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 xml:space="preserve">Ponencias 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12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36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35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61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57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201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 xml:space="preserve">Tesis de </w:t>
            </w:r>
            <w:r>
              <w:rPr>
                <w:rFonts w:ascii="Calibri" w:hAnsi="Calibri"/>
                <w:b/>
                <w:sz w:val="22"/>
                <w:szCs w:val="22"/>
              </w:rPr>
              <w:t>Grado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6</w:t>
            </w:r>
          </w:p>
        </w:tc>
        <w:tc>
          <w:tcPr>
            <w:tcW w:w="963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33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10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54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Tesis de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Especialidad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963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963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Tesis de Maestría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5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12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8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20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63</w:t>
            </w:r>
          </w:p>
        </w:tc>
      </w:tr>
      <w:tr w:rsidR="009C56E5" w:rsidRPr="0009772A" w:rsidTr="009C56E5">
        <w:tc>
          <w:tcPr>
            <w:tcW w:w="2550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Tesis de Doctorado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9772A">
              <w:rPr>
                <w:rFonts w:ascii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963" w:type="dxa"/>
          </w:tcPr>
          <w:p w:rsidR="009C56E5" w:rsidRPr="0009772A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</w:t>
            </w:r>
          </w:p>
        </w:tc>
        <w:tc>
          <w:tcPr>
            <w:tcW w:w="96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1354" w:type="dxa"/>
          </w:tcPr>
          <w:p w:rsidR="009C56E5" w:rsidRDefault="009C56E5" w:rsidP="009C56E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12</w:t>
            </w:r>
          </w:p>
        </w:tc>
      </w:tr>
    </w:tbl>
    <w:p w:rsidR="00B826D2" w:rsidRDefault="00B826D2" w:rsidP="004D660C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B826D2" w:rsidRDefault="00B826D2" w:rsidP="004D660C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4D660C" w:rsidRPr="009C56E5" w:rsidRDefault="004D660C" w:rsidP="004D660C">
      <w:pPr>
        <w:tabs>
          <w:tab w:val="left" w:pos="426"/>
        </w:tabs>
        <w:jc w:val="center"/>
        <w:rPr>
          <w:b/>
          <w:sz w:val="22"/>
          <w:szCs w:val="22"/>
          <w:lang w:val="es-ES_tradnl"/>
        </w:rPr>
      </w:pPr>
      <w:r w:rsidRPr="009C56E5">
        <w:rPr>
          <w:b/>
          <w:sz w:val="22"/>
          <w:szCs w:val="22"/>
          <w:lang w:val="es-ES_tradnl"/>
        </w:rPr>
        <w:t>Nuevo pro</w:t>
      </w:r>
      <w:r w:rsidR="00B826D2" w:rsidRPr="009C56E5">
        <w:rPr>
          <w:b/>
          <w:sz w:val="22"/>
          <w:szCs w:val="22"/>
          <w:lang w:val="es-ES_tradnl"/>
        </w:rPr>
        <w:t>yecto se presenta a la RED-DEES</w:t>
      </w:r>
    </w:p>
    <w:p w:rsidR="004D660C" w:rsidRPr="009C56E5" w:rsidRDefault="004D660C" w:rsidP="004D660C">
      <w:pPr>
        <w:tabs>
          <w:tab w:val="left" w:pos="426"/>
        </w:tabs>
        <w:jc w:val="both"/>
        <w:rPr>
          <w:b/>
          <w:sz w:val="16"/>
          <w:szCs w:val="16"/>
          <w:lang w:val="es-ES_tradnl"/>
        </w:rPr>
      </w:pPr>
    </w:p>
    <w:p w:rsidR="00E564C2" w:rsidRPr="009C56E5" w:rsidRDefault="004D660C" w:rsidP="00E564C2">
      <w:pPr>
        <w:jc w:val="both"/>
        <w:rPr>
          <w:sz w:val="22"/>
          <w:szCs w:val="22"/>
        </w:rPr>
      </w:pPr>
      <w:r w:rsidRPr="009C56E5">
        <w:rPr>
          <w:sz w:val="22"/>
          <w:szCs w:val="22"/>
          <w:lang w:val="es-ES_tradnl"/>
        </w:rPr>
        <w:t xml:space="preserve">La Universidad de Babahoyo (Ecuador) ingresó </w:t>
      </w:r>
      <w:r w:rsidR="007809F3" w:rsidRPr="009C56E5">
        <w:rPr>
          <w:sz w:val="22"/>
          <w:szCs w:val="22"/>
          <w:lang w:val="es-ES_tradnl"/>
        </w:rPr>
        <w:t xml:space="preserve">este año </w:t>
      </w:r>
      <w:r w:rsidRPr="009C56E5">
        <w:rPr>
          <w:sz w:val="22"/>
          <w:szCs w:val="22"/>
          <w:lang w:val="es-ES_tradnl"/>
        </w:rPr>
        <w:t xml:space="preserve">a la RED-DEES y </w:t>
      </w:r>
      <w:r w:rsidR="00B826D2" w:rsidRPr="009C56E5">
        <w:rPr>
          <w:sz w:val="22"/>
          <w:szCs w:val="22"/>
          <w:lang w:val="es-ES_tradnl"/>
        </w:rPr>
        <w:t xml:space="preserve">desarrollará un proyecto institucional </w:t>
      </w:r>
      <w:r w:rsidR="00E564C2" w:rsidRPr="009C56E5">
        <w:rPr>
          <w:sz w:val="22"/>
          <w:szCs w:val="22"/>
          <w:lang w:val="es-ES_tradnl"/>
        </w:rPr>
        <w:t>que tendrá una duración de tres años (2015 – 2017), el cual</w:t>
      </w:r>
      <w:r w:rsidR="00B826D2" w:rsidRPr="009C56E5">
        <w:rPr>
          <w:sz w:val="22"/>
          <w:szCs w:val="22"/>
          <w:lang w:val="es-ES_tradnl"/>
        </w:rPr>
        <w:t xml:space="preserve"> tiene c</w:t>
      </w:r>
      <w:r w:rsidRPr="009C56E5">
        <w:rPr>
          <w:sz w:val="22"/>
          <w:szCs w:val="22"/>
          <w:lang w:val="es-ES_tradnl"/>
        </w:rPr>
        <w:t xml:space="preserve">omo </w:t>
      </w:r>
      <w:r w:rsidR="00E564C2" w:rsidRPr="009C56E5">
        <w:rPr>
          <w:sz w:val="22"/>
          <w:szCs w:val="22"/>
          <w:lang w:val="es-ES_tradnl"/>
        </w:rPr>
        <w:t xml:space="preserve">objetivo </w:t>
      </w:r>
      <w:r w:rsidR="00E564C2" w:rsidRPr="009C56E5">
        <w:rPr>
          <w:sz w:val="22"/>
          <w:szCs w:val="22"/>
        </w:rPr>
        <w:t>d</w:t>
      </w:r>
      <w:r w:rsidR="00B826D2" w:rsidRPr="009C56E5">
        <w:rPr>
          <w:sz w:val="22"/>
          <w:szCs w:val="22"/>
        </w:rPr>
        <w:t xml:space="preserve">iseñar una </w:t>
      </w:r>
      <w:r w:rsidR="0032236B">
        <w:rPr>
          <w:sz w:val="22"/>
          <w:szCs w:val="22"/>
        </w:rPr>
        <w:t>E</w:t>
      </w:r>
      <w:r w:rsidR="00B826D2" w:rsidRPr="009C56E5">
        <w:rPr>
          <w:sz w:val="22"/>
          <w:szCs w:val="22"/>
        </w:rPr>
        <w:t xml:space="preserve">strategia institucional que </w:t>
      </w:r>
      <w:proofErr w:type="spellStart"/>
      <w:r w:rsidR="00B826D2" w:rsidRPr="009C56E5">
        <w:rPr>
          <w:sz w:val="22"/>
          <w:szCs w:val="22"/>
        </w:rPr>
        <w:t>redireccione</w:t>
      </w:r>
      <w:proofErr w:type="spellEnd"/>
      <w:r w:rsidR="00B826D2" w:rsidRPr="009C56E5">
        <w:rPr>
          <w:sz w:val="22"/>
          <w:szCs w:val="22"/>
        </w:rPr>
        <w:t xml:space="preserve"> a la </w:t>
      </w:r>
      <w:r w:rsidR="00E564C2" w:rsidRPr="009C56E5">
        <w:rPr>
          <w:sz w:val="22"/>
          <w:szCs w:val="22"/>
        </w:rPr>
        <w:t>Institución</w:t>
      </w:r>
      <w:r w:rsidR="00B826D2" w:rsidRPr="009C56E5">
        <w:rPr>
          <w:sz w:val="22"/>
          <w:szCs w:val="22"/>
        </w:rPr>
        <w:t>, tomando como base las nuevas exigencias de la educación superior ecuatoriana y las capacidades internas.</w:t>
      </w:r>
      <w:r w:rsidR="00E564C2" w:rsidRPr="009C56E5">
        <w:rPr>
          <w:sz w:val="22"/>
          <w:szCs w:val="22"/>
        </w:rPr>
        <w:t xml:space="preserve"> Se propone además, desarrollar acciones que contribuyan a elevar el nivel de preparación de los directivos y miembros de la comunidad universitaria en el ámbito de la planificación estratégica, y en general de la </w:t>
      </w:r>
      <w:bookmarkStart w:id="0" w:name="_GoBack"/>
      <w:bookmarkEnd w:id="0"/>
      <w:r w:rsidR="00E564C2" w:rsidRPr="009C56E5">
        <w:rPr>
          <w:sz w:val="22"/>
          <w:szCs w:val="22"/>
        </w:rPr>
        <w:t>dirección estratégica en las Instituciones de Educación Superior.</w:t>
      </w:r>
    </w:p>
    <w:p w:rsidR="00E564C2" w:rsidRPr="00E564C2" w:rsidRDefault="00E564C2" w:rsidP="004D660C">
      <w:pPr>
        <w:pStyle w:val="a"/>
        <w:jc w:val="both"/>
        <w:rPr>
          <w:rFonts w:ascii="Arial" w:hAnsi="Arial" w:cs="Arial"/>
          <w:b w:val="0"/>
          <w:sz w:val="22"/>
          <w:szCs w:val="22"/>
          <w:lang w:val="es-EC"/>
        </w:rPr>
      </w:pPr>
    </w:p>
    <w:p w:rsidR="00E564C2" w:rsidRPr="00E564C2" w:rsidRDefault="00E564C2" w:rsidP="004D660C">
      <w:pPr>
        <w:pStyle w:val="a"/>
        <w:jc w:val="both"/>
        <w:rPr>
          <w:rFonts w:ascii="Arial" w:hAnsi="Arial" w:cs="Arial"/>
          <w:b w:val="0"/>
          <w:sz w:val="22"/>
          <w:szCs w:val="22"/>
        </w:rPr>
      </w:pPr>
    </w:p>
    <w:p w:rsidR="00086114" w:rsidRPr="009C56E5" w:rsidRDefault="004D660C" w:rsidP="00E564C2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  <w:r w:rsidRPr="009C56E5">
        <w:rPr>
          <w:b/>
          <w:i/>
          <w:sz w:val="28"/>
          <w:szCs w:val="28"/>
          <w:lang w:val="es-ES_tradnl"/>
        </w:rPr>
        <w:lastRenderedPageBreak/>
        <w:t>A</w:t>
      </w:r>
      <w:r w:rsidR="00086114" w:rsidRPr="009C56E5">
        <w:rPr>
          <w:b/>
          <w:i/>
          <w:sz w:val="28"/>
          <w:szCs w:val="28"/>
          <w:lang w:val="es-ES_tradnl"/>
        </w:rPr>
        <w:t>rtículos</w:t>
      </w:r>
    </w:p>
    <w:p w:rsidR="00086114" w:rsidRPr="00E564C2" w:rsidRDefault="00086114" w:rsidP="00476195">
      <w:pPr>
        <w:tabs>
          <w:tab w:val="left" w:pos="426"/>
        </w:tabs>
        <w:jc w:val="both"/>
        <w:rPr>
          <w:rFonts w:ascii="Arial" w:hAnsi="Arial" w:cs="Arial"/>
          <w:sz w:val="16"/>
          <w:szCs w:val="16"/>
          <w:lang w:val="es-ES_tradnl"/>
        </w:rPr>
      </w:pPr>
    </w:p>
    <w:p w:rsidR="009C56E5" w:rsidRPr="009C56E5" w:rsidRDefault="002040C0" w:rsidP="009C56E5">
      <w:pPr>
        <w:autoSpaceDE w:val="0"/>
        <w:autoSpaceDN w:val="0"/>
        <w:adjustRightInd w:val="0"/>
        <w:jc w:val="center"/>
        <w:rPr>
          <w:b/>
          <w:i/>
          <w:sz w:val="28"/>
          <w:szCs w:val="28"/>
          <w:lang w:val="es-MX"/>
        </w:rPr>
      </w:pPr>
      <w:r w:rsidRPr="009C56E5">
        <w:rPr>
          <w:b/>
          <w:bCs/>
          <w:i/>
          <w:iCs/>
          <w:sz w:val="28"/>
          <w:szCs w:val="28"/>
          <w:lang w:val="es-ES_tradnl"/>
        </w:rPr>
        <w:t xml:space="preserve">Título: </w:t>
      </w:r>
      <w:r w:rsidR="009C56E5" w:rsidRPr="009C56E5">
        <w:rPr>
          <w:b/>
          <w:i/>
          <w:sz w:val="28"/>
          <w:szCs w:val="28"/>
          <w:lang w:val="es-MX"/>
        </w:rPr>
        <w:t>Reflexiones sobre las prácticas de evaluación en la educación superior: la evaluación institucional y de la función docente en el marco de la planificación estratégica</w:t>
      </w:r>
      <w:r w:rsidR="009C56E5" w:rsidRPr="009C56E5">
        <w:rPr>
          <w:b/>
          <w:i/>
          <w:sz w:val="28"/>
          <w:szCs w:val="28"/>
          <w:lang w:val="es-MX"/>
        </w:rPr>
        <w:t>.</w:t>
      </w:r>
    </w:p>
    <w:p w:rsidR="009C56E5" w:rsidRPr="009C56E5" w:rsidRDefault="009C56E5" w:rsidP="009C56E5">
      <w:pPr>
        <w:outlineLvl w:val="0"/>
        <w:rPr>
          <w:b/>
          <w:bCs/>
          <w:sz w:val="16"/>
          <w:szCs w:val="16"/>
          <w:lang w:val="es-ES_tradnl"/>
        </w:rPr>
      </w:pPr>
    </w:p>
    <w:p w:rsidR="009C56E5" w:rsidRPr="009C56E5" w:rsidRDefault="002040C0" w:rsidP="009C56E5">
      <w:pPr>
        <w:outlineLvl w:val="0"/>
        <w:rPr>
          <w:sz w:val="22"/>
          <w:szCs w:val="22"/>
          <w:lang w:val="es-MX"/>
        </w:rPr>
      </w:pPr>
      <w:r w:rsidRPr="009C56E5">
        <w:rPr>
          <w:b/>
          <w:bCs/>
          <w:sz w:val="22"/>
          <w:szCs w:val="22"/>
          <w:lang w:val="es-ES_tradnl"/>
        </w:rPr>
        <w:t>Autor</w:t>
      </w:r>
      <w:r w:rsidR="009C56E5" w:rsidRPr="009C56E5">
        <w:rPr>
          <w:b/>
          <w:bCs/>
          <w:sz w:val="22"/>
          <w:szCs w:val="22"/>
          <w:lang w:val="es-ES_tradnl"/>
        </w:rPr>
        <w:t>es</w:t>
      </w:r>
      <w:r w:rsidRPr="009C56E5">
        <w:rPr>
          <w:b/>
          <w:bCs/>
          <w:sz w:val="22"/>
          <w:szCs w:val="22"/>
          <w:lang w:val="es-ES_tradnl"/>
        </w:rPr>
        <w:t xml:space="preserve">: </w:t>
      </w:r>
      <w:r w:rsidR="009C56E5" w:rsidRPr="009C56E5">
        <w:rPr>
          <w:sz w:val="22"/>
          <w:szCs w:val="22"/>
          <w:lang w:val="es-MX"/>
        </w:rPr>
        <w:t xml:space="preserve">Norberto Fernández </w:t>
      </w:r>
      <w:proofErr w:type="spellStart"/>
      <w:r w:rsidR="009C56E5" w:rsidRPr="009C56E5">
        <w:rPr>
          <w:sz w:val="22"/>
          <w:szCs w:val="22"/>
          <w:lang w:val="es-MX"/>
        </w:rPr>
        <w:t>Lamarra</w:t>
      </w:r>
      <w:proofErr w:type="spellEnd"/>
      <w:r w:rsidR="009C56E5" w:rsidRPr="009C56E5">
        <w:rPr>
          <w:sz w:val="22"/>
          <w:szCs w:val="22"/>
          <w:lang w:val="es-MX"/>
        </w:rPr>
        <w:t xml:space="preserve"> y Natalia Coppola</w:t>
      </w:r>
    </w:p>
    <w:p w:rsidR="009C56E5" w:rsidRPr="009C56E5" w:rsidRDefault="009C56E5" w:rsidP="009C56E5">
      <w:pPr>
        <w:widowControl w:val="0"/>
        <w:jc w:val="both"/>
        <w:rPr>
          <w:b/>
          <w:bCs/>
          <w:sz w:val="16"/>
          <w:szCs w:val="16"/>
          <w:lang w:val="es-MX"/>
        </w:rPr>
      </w:pPr>
    </w:p>
    <w:p w:rsidR="002040C0" w:rsidRPr="009C56E5" w:rsidRDefault="002040C0" w:rsidP="009C56E5">
      <w:pPr>
        <w:widowControl w:val="0"/>
        <w:jc w:val="both"/>
        <w:rPr>
          <w:b/>
          <w:bCs/>
          <w:sz w:val="22"/>
          <w:szCs w:val="22"/>
          <w:lang w:val="es-ES_tradnl"/>
        </w:rPr>
      </w:pPr>
      <w:r w:rsidRPr="009C56E5">
        <w:rPr>
          <w:b/>
          <w:bCs/>
          <w:sz w:val="22"/>
          <w:szCs w:val="22"/>
          <w:lang w:val="es-ES_tradnl"/>
        </w:rPr>
        <w:t>Resumen:</w:t>
      </w:r>
    </w:p>
    <w:p w:rsidR="009C56E5" w:rsidRPr="009C56E5" w:rsidRDefault="009C56E5" w:rsidP="009C56E5">
      <w:pPr>
        <w:jc w:val="both"/>
        <w:rPr>
          <w:sz w:val="16"/>
          <w:szCs w:val="16"/>
        </w:rPr>
      </w:pPr>
    </w:p>
    <w:p w:rsidR="009C56E5" w:rsidRPr="009C56E5" w:rsidRDefault="009C56E5" w:rsidP="009C56E5">
      <w:pPr>
        <w:jc w:val="both"/>
        <w:rPr>
          <w:sz w:val="22"/>
          <w:szCs w:val="22"/>
          <w:lang w:val="es-MX"/>
        </w:rPr>
      </w:pPr>
      <w:r w:rsidRPr="009C56E5">
        <w:rPr>
          <w:sz w:val="22"/>
          <w:szCs w:val="22"/>
        </w:rPr>
        <w:t>L</w:t>
      </w:r>
      <w:r w:rsidRPr="009C56E5">
        <w:rPr>
          <w:sz w:val="22"/>
          <w:szCs w:val="22"/>
          <w:lang w:val="es-MX"/>
        </w:rPr>
        <w:t>os procesos de evaluación institucional y l</w:t>
      </w:r>
      <w:r w:rsidRPr="009C56E5">
        <w:rPr>
          <w:sz w:val="22"/>
          <w:szCs w:val="22"/>
        </w:rPr>
        <w:t xml:space="preserve">os procesos de evaluación de la función docente en la educación superior -como prácticas de evaluación en materia de aseguramiento de la calidad- son imprescindibles para la planificación y gestión estratégica de las instituciones de ese nivel. </w:t>
      </w:r>
      <w:r w:rsidRPr="009C56E5">
        <w:rPr>
          <w:sz w:val="22"/>
          <w:szCs w:val="22"/>
          <w:lang w:val="es-MX"/>
        </w:rPr>
        <w:t>A partir de esta premisa, se propone desarrollar en este artículo, por un lado, una aproximación conceptual sobre la evaluación institucional y la evaluación de la función docente en la educación superior</w:t>
      </w:r>
      <w:r>
        <w:rPr>
          <w:sz w:val="22"/>
          <w:szCs w:val="22"/>
          <w:lang w:val="es-MX"/>
        </w:rPr>
        <w:t>, y</w:t>
      </w:r>
      <w:r w:rsidRPr="009C56E5">
        <w:rPr>
          <w:sz w:val="22"/>
          <w:szCs w:val="22"/>
          <w:lang w:val="es-MX"/>
        </w:rPr>
        <w:t xml:space="preserve"> por otro, analizar las vinculaciones entre los procesos de evaluación y planificación y de este modo, revisar las estrategias para evaluar la calidad en el sistema de educación superior universitario, en pos de la mejora de sus instituciones y de sus procesos académicos.</w:t>
      </w:r>
    </w:p>
    <w:p w:rsidR="009C56E5" w:rsidRPr="009C56E5" w:rsidRDefault="009C56E5" w:rsidP="009C56E5">
      <w:pPr>
        <w:jc w:val="both"/>
        <w:rPr>
          <w:b/>
          <w:bCs/>
          <w:sz w:val="16"/>
          <w:szCs w:val="16"/>
          <w:lang w:val="es-ES_tradnl"/>
        </w:rPr>
      </w:pPr>
    </w:p>
    <w:p w:rsidR="009C56E5" w:rsidRPr="009C56E5" w:rsidRDefault="009C56E5" w:rsidP="009C56E5">
      <w:pPr>
        <w:jc w:val="both"/>
        <w:rPr>
          <w:sz w:val="22"/>
          <w:szCs w:val="22"/>
          <w:lang w:val="es-MX"/>
        </w:rPr>
      </w:pPr>
      <w:r w:rsidRPr="009C56E5">
        <w:rPr>
          <w:b/>
          <w:bCs/>
          <w:sz w:val="22"/>
          <w:szCs w:val="22"/>
          <w:lang w:val="es-ES_tradnl"/>
        </w:rPr>
        <w:t xml:space="preserve">Palabras clave: </w:t>
      </w:r>
      <w:r w:rsidRPr="009C56E5">
        <w:rPr>
          <w:sz w:val="22"/>
          <w:szCs w:val="22"/>
          <w:lang w:val="es-MX"/>
        </w:rPr>
        <w:t>evaluación institucional, evaluación de la función docente, planificación estratégica, universidad y calidad</w:t>
      </w:r>
    </w:p>
    <w:p w:rsidR="009C56E5" w:rsidRPr="009C56E5" w:rsidRDefault="009C56E5" w:rsidP="009C56E5">
      <w:pPr>
        <w:widowControl w:val="0"/>
        <w:jc w:val="both"/>
        <w:rPr>
          <w:b/>
          <w:bCs/>
          <w:sz w:val="16"/>
          <w:szCs w:val="16"/>
          <w:lang w:val="es-MX"/>
        </w:rPr>
      </w:pPr>
    </w:p>
    <w:p w:rsidR="000C4D11" w:rsidRPr="000C4D11" w:rsidRDefault="009C56E5" w:rsidP="000C4D11">
      <w:pPr>
        <w:rPr>
          <w:sz w:val="22"/>
          <w:szCs w:val="22"/>
        </w:rPr>
      </w:pPr>
      <w:r w:rsidRPr="009C56E5">
        <w:rPr>
          <w:b/>
          <w:bCs/>
          <w:sz w:val="22"/>
          <w:szCs w:val="22"/>
          <w:lang w:val="es-MX"/>
        </w:rPr>
        <w:t xml:space="preserve">Para acceder al artículo completo, contacte con el autor: </w:t>
      </w:r>
      <w:hyperlink r:id="rId6" w:history="1">
        <w:r w:rsidR="000C4D11" w:rsidRPr="000C4D11">
          <w:rPr>
            <w:rStyle w:val="Hipervnculo"/>
            <w:color w:val="auto"/>
            <w:sz w:val="22"/>
            <w:szCs w:val="22"/>
            <w:u w:val="none"/>
          </w:rPr>
          <w:t>nflamarra@fibertel.com.ar</w:t>
        </w:r>
      </w:hyperlink>
    </w:p>
    <w:p w:rsidR="009C56E5" w:rsidRPr="009C56E5" w:rsidRDefault="009C56E5" w:rsidP="009C56E5">
      <w:pPr>
        <w:ind w:hanging="2340"/>
        <w:jc w:val="both"/>
        <w:rPr>
          <w:b/>
          <w:sz w:val="22"/>
          <w:szCs w:val="22"/>
          <w:lang w:val="es-MX"/>
        </w:rPr>
      </w:pPr>
    </w:p>
    <w:p w:rsidR="002040C0" w:rsidRPr="009C56E5" w:rsidRDefault="002040C0" w:rsidP="009C56E5">
      <w:pPr>
        <w:tabs>
          <w:tab w:val="left" w:pos="426"/>
        </w:tabs>
        <w:jc w:val="both"/>
        <w:rPr>
          <w:sz w:val="22"/>
          <w:szCs w:val="22"/>
          <w:lang w:val="es-MX"/>
        </w:rPr>
      </w:pPr>
    </w:p>
    <w:p w:rsidR="009C56E5" w:rsidRPr="009C56E5" w:rsidRDefault="002040C0" w:rsidP="009C56E5">
      <w:pPr>
        <w:pStyle w:val="Sinespaciado"/>
        <w:jc w:val="center"/>
        <w:rPr>
          <w:rFonts w:ascii="Times New Roman" w:hAnsi="Times New Roman"/>
          <w:b/>
          <w:i/>
          <w:sz w:val="28"/>
          <w:szCs w:val="28"/>
        </w:rPr>
      </w:pPr>
      <w:r w:rsidRPr="009C56E5">
        <w:rPr>
          <w:rFonts w:ascii="Times New Roman" w:hAnsi="Times New Roman"/>
          <w:b/>
          <w:bCs/>
          <w:i/>
          <w:iCs/>
          <w:sz w:val="28"/>
          <w:szCs w:val="28"/>
          <w:lang w:val="es-ES_tradnl"/>
        </w:rPr>
        <w:t xml:space="preserve">Título: </w:t>
      </w:r>
      <w:r w:rsidR="009C56E5" w:rsidRPr="009C56E5">
        <w:rPr>
          <w:rFonts w:ascii="Times New Roman" w:hAnsi="Times New Roman"/>
          <w:b/>
          <w:i/>
          <w:sz w:val="28"/>
          <w:szCs w:val="28"/>
        </w:rPr>
        <w:t xml:space="preserve">Una mirada a la Relación Universidad-Gobierno desde el </w:t>
      </w:r>
      <w:r w:rsidR="009C56E5">
        <w:rPr>
          <w:rFonts w:ascii="Times New Roman" w:hAnsi="Times New Roman"/>
          <w:b/>
          <w:i/>
          <w:sz w:val="28"/>
          <w:szCs w:val="28"/>
        </w:rPr>
        <w:t>e</w:t>
      </w:r>
      <w:r w:rsidR="009C56E5" w:rsidRPr="009C56E5">
        <w:rPr>
          <w:rFonts w:ascii="Times New Roman" w:hAnsi="Times New Roman"/>
          <w:b/>
          <w:i/>
          <w:sz w:val="28"/>
          <w:szCs w:val="28"/>
        </w:rPr>
        <w:t xml:space="preserve">nfoque </w:t>
      </w:r>
      <w:r w:rsidR="009C56E5">
        <w:rPr>
          <w:rFonts w:ascii="Times New Roman" w:hAnsi="Times New Roman"/>
          <w:b/>
          <w:i/>
          <w:sz w:val="28"/>
          <w:szCs w:val="28"/>
        </w:rPr>
        <w:t>r</w:t>
      </w:r>
      <w:r w:rsidR="009C56E5" w:rsidRPr="009C56E5">
        <w:rPr>
          <w:rFonts w:ascii="Times New Roman" w:hAnsi="Times New Roman"/>
          <w:b/>
          <w:i/>
          <w:sz w:val="28"/>
          <w:szCs w:val="28"/>
        </w:rPr>
        <w:t xml:space="preserve">elacional </w:t>
      </w:r>
      <w:r w:rsidR="009C56E5">
        <w:rPr>
          <w:rFonts w:ascii="Times New Roman" w:hAnsi="Times New Roman"/>
          <w:b/>
          <w:i/>
          <w:sz w:val="28"/>
          <w:szCs w:val="28"/>
        </w:rPr>
        <w:t>p</w:t>
      </w:r>
      <w:r w:rsidR="009C56E5" w:rsidRPr="009C56E5">
        <w:rPr>
          <w:rFonts w:ascii="Times New Roman" w:hAnsi="Times New Roman"/>
          <w:b/>
          <w:i/>
          <w:sz w:val="28"/>
          <w:szCs w:val="28"/>
        </w:rPr>
        <w:t xml:space="preserve">articipativo de la </w:t>
      </w:r>
      <w:r w:rsidR="009C56E5">
        <w:rPr>
          <w:rFonts w:ascii="Times New Roman" w:hAnsi="Times New Roman"/>
          <w:b/>
          <w:i/>
          <w:sz w:val="28"/>
          <w:szCs w:val="28"/>
        </w:rPr>
        <w:t>d</w:t>
      </w:r>
      <w:r w:rsidR="009C56E5" w:rsidRPr="009C56E5">
        <w:rPr>
          <w:rFonts w:ascii="Times New Roman" w:hAnsi="Times New Roman"/>
          <w:b/>
          <w:i/>
          <w:sz w:val="28"/>
          <w:szCs w:val="28"/>
        </w:rPr>
        <w:t xml:space="preserve">irección </w:t>
      </w:r>
      <w:r w:rsidR="009C56E5">
        <w:rPr>
          <w:rFonts w:ascii="Times New Roman" w:hAnsi="Times New Roman"/>
          <w:b/>
          <w:i/>
          <w:sz w:val="28"/>
          <w:szCs w:val="28"/>
        </w:rPr>
        <w:t>e</w:t>
      </w:r>
      <w:r w:rsidR="009C56E5" w:rsidRPr="009C56E5">
        <w:rPr>
          <w:rFonts w:ascii="Times New Roman" w:hAnsi="Times New Roman"/>
          <w:b/>
          <w:i/>
          <w:sz w:val="28"/>
          <w:szCs w:val="28"/>
        </w:rPr>
        <w:t>stratégica.</w:t>
      </w:r>
    </w:p>
    <w:p w:rsidR="009C56E5" w:rsidRPr="009C56E5" w:rsidRDefault="009C56E5" w:rsidP="009C56E5">
      <w:pPr>
        <w:pStyle w:val="Sinespaciado"/>
        <w:jc w:val="both"/>
        <w:rPr>
          <w:rFonts w:ascii="Times New Roman" w:hAnsi="Times New Roman"/>
          <w:b/>
          <w:bCs/>
          <w:sz w:val="16"/>
          <w:szCs w:val="16"/>
          <w:lang w:val="es-ES_tradnl"/>
        </w:rPr>
      </w:pPr>
    </w:p>
    <w:p w:rsidR="009C56E5" w:rsidRPr="009C56E5" w:rsidRDefault="002040C0" w:rsidP="009C56E5">
      <w:pPr>
        <w:pStyle w:val="Sinespaciado"/>
        <w:jc w:val="both"/>
        <w:rPr>
          <w:rFonts w:ascii="Times New Roman" w:hAnsi="Times New Roman"/>
        </w:rPr>
      </w:pPr>
      <w:r w:rsidRPr="009C56E5">
        <w:rPr>
          <w:rFonts w:ascii="Times New Roman" w:hAnsi="Times New Roman"/>
          <w:b/>
          <w:bCs/>
          <w:lang w:val="es-ES_tradnl"/>
        </w:rPr>
        <w:t>Autor</w:t>
      </w:r>
      <w:r w:rsidR="009C56E5">
        <w:rPr>
          <w:rFonts w:ascii="Times New Roman" w:hAnsi="Times New Roman"/>
          <w:b/>
          <w:bCs/>
          <w:lang w:val="es-ES_tradnl"/>
        </w:rPr>
        <w:t>es</w:t>
      </w:r>
      <w:r w:rsidRPr="009C56E5">
        <w:rPr>
          <w:rFonts w:ascii="Times New Roman" w:hAnsi="Times New Roman"/>
          <w:b/>
          <w:bCs/>
          <w:lang w:val="es-ES_tradnl"/>
        </w:rPr>
        <w:t xml:space="preserve">: </w:t>
      </w:r>
      <w:r w:rsidR="009C56E5" w:rsidRPr="009C56E5">
        <w:rPr>
          <w:rFonts w:ascii="Times New Roman" w:hAnsi="Times New Roman"/>
        </w:rPr>
        <w:t xml:space="preserve">María Elena García López, </w:t>
      </w:r>
      <w:proofErr w:type="spellStart"/>
      <w:r w:rsidR="009C56E5" w:rsidRPr="009C56E5">
        <w:rPr>
          <w:rFonts w:ascii="Times New Roman" w:hAnsi="Times New Roman"/>
        </w:rPr>
        <w:t>Danieska</w:t>
      </w:r>
      <w:proofErr w:type="spellEnd"/>
      <w:r w:rsidR="009C56E5" w:rsidRPr="009C56E5">
        <w:rPr>
          <w:rFonts w:ascii="Times New Roman" w:hAnsi="Times New Roman"/>
        </w:rPr>
        <w:t xml:space="preserve"> </w:t>
      </w:r>
      <w:proofErr w:type="spellStart"/>
      <w:r w:rsidR="009C56E5" w:rsidRPr="009C56E5">
        <w:rPr>
          <w:rFonts w:ascii="Times New Roman" w:hAnsi="Times New Roman"/>
        </w:rPr>
        <w:t>Megret</w:t>
      </w:r>
      <w:proofErr w:type="spellEnd"/>
      <w:r w:rsidR="009C56E5" w:rsidRPr="009C56E5">
        <w:rPr>
          <w:rFonts w:ascii="Times New Roman" w:hAnsi="Times New Roman"/>
        </w:rPr>
        <w:t xml:space="preserve"> Ramírez, José Roberto Capó Pérez </w:t>
      </w:r>
    </w:p>
    <w:p w:rsidR="009C56E5" w:rsidRPr="009C56E5" w:rsidRDefault="009C56E5" w:rsidP="009C56E5">
      <w:pPr>
        <w:widowControl w:val="0"/>
        <w:jc w:val="both"/>
        <w:rPr>
          <w:b/>
          <w:bCs/>
          <w:sz w:val="16"/>
          <w:szCs w:val="16"/>
          <w:lang w:val="es-ES_tradnl"/>
        </w:rPr>
      </w:pPr>
    </w:p>
    <w:p w:rsidR="002040C0" w:rsidRPr="009C56E5" w:rsidRDefault="002040C0" w:rsidP="009C56E5">
      <w:pPr>
        <w:widowControl w:val="0"/>
        <w:jc w:val="both"/>
        <w:rPr>
          <w:b/>
          <w:bCs/>
          <w:sz w:val="22"/>
          <w:szCs w:val="22"/>
          <w:lang w:val="es-ES_tradnl"/>
        </w:rPr>
      </w:pPr>
      <w:r w:rsidRPr="009C56E5">
        <w:rPr>
          <w:b/>
          <w:bCs/>
          <w:sz w:val="22"/>
          <w:szCs w:val="22"/>
          <w:lang w:val="es-ES_tradnl"/>
        </w:rPr>
        <w:t>Resumen:</w:t>
      </w:r>
    </w:p>
    <w:p w:rsidR="009C56E5" w:rsidRPr="009C56E5" w:rsidRDefault="009C56E5" w:rsidP="009C56E5">
      <w:pPr>
        <w:pStyle w:val="Sinespaciado"/>
        <w:jc w:val="both"/>
        <w:rPr>
          <w:rFonts w:ascii="Times New Roman" w:hAnsi="Times New Roman"/>
          <w:b/>
          <w:sz w:val="16"/>
          <w:szCs w:val="16"/>
        </w:rPr>
      </w:pPr>
    </w:p>
    <w:p w:rsidR="009C56E5" w:rsidRPr="009C56E5" w:rsidRDefault="009C56E5" w:rsidP="009C56E5">
      <w:pPr>
        <w:pStyle w:val="Sinespaciado"/>
        <w:jc w:val="both"/>
        <w:rPr>
          <w:rFonts w:ascii="Times New Roman" w:hAnsi="Times New Roman"/>
        </w:rPr>
      </w:pPr>
      <w:r w:rsidRPr="009C56E5">
        <w:rPr>
          <w:rFonts w:ascii="Times New Roman" w:hAnsi="Times New Roman"/>
          <w:spacing w:val="-3"/>
        </w:rPr>
        <w:t>La teoría estratégica ha evolucionado a través de varios enfoques marcando líneas de investigación disímiles, entre ellos</w:t>
      </w:r>
      <w:r w:rsidRPr="009C56E5">
        <w:rPr>
          <w:rFonts w:ascii="Times New Roman" w:hAnsi="Times New Roman"/>
        </w:rPr>
        <w:t xml:space="preserve"> </w:t>
      </w:r>
      <w:r w:rsidRPr="009C56E5">
        <w:rPr>
          <w:rFonts w:ascii="Times New Roman" w:hAnsi="Times New Roman"/>
          <w:bCs/>
        </w:rPr>
        <w:t xml:space="preserve">el enfoque </w:t>
      </w:r>
      <w:r w:rsidR="00E508B9">
        <w:rPr>
          <w:rFonts w:ascii="Times New Roman" w:hAnsi="Times New Roman"/>
          <w:bCs/>
        </w:rPr>
        <w:t>r</w:t>
      </w:r>
      <w:r w:rsidRPr="009C56E5">
        <w:rPr>
          <w:rFonts w:ascii="Times New Roman" w:hAnsi="Times New Roman"/>
          <w:bCs/>
        </w:rPr>
        <w:t xml:space="preserve">elacional – </w:t>
      </w:r>
      <w:r w:rsidR="00E508B9">
        <w:rPr>
          <w:rFonts w:ascii="Times New Roman" w:hAnsi="Times New Roman"/>
          <w:bCs/>
        </w:rPr>
        <w:t>p</w:t>
      </w:r>
      <w:r w:rsidRPr="009C56E5">
        <w:rPr>
          <w:rFonts w:ascii="Times New Roman" w:hAnsi="Times New Roman"/>
          <w:bCs/>
        </w:rPr>
        <w:t>articipativo, el cual sitúa el énfasis en</w:t>
      </w:r>
      <w:r w:rsidRPr="009C56E5">
        <w:rPr>
          <w:rFonts w:ascii="Times New Roman" w:hAnsi="Times New Roman"/>
        </w:rPr>
        <w:t xml:space="preserve"> transformar y hacer mejor la organización desde la filosofía de la cooperación, por lo que cualquier decisión hacia afuera o hacia adentro de la organización debe ponderar en todo momento la dimensión humana de la misma, lo que sustenta su elección por los autores del presente artículo orientado a fundamentar la relación Universidad - Gobierno desde dicho enfoque. El estudio de la relación universidad - gobierno y de las interinfluencias que se generan entre ambos, desde el perfeccionamiento de los procesos de dirección que respaldan esta relación, implica redimensionar los procesos socio - psicológicos que intervienen en el funcionamiento de las organizaciones, lo cual lleva aparejado, el análisis dialéctico de los procesos y las relaciones que entre ellas se suceden.</w:t>
      </w:r>
    </w:p>
    <w:p w:rsidR="00E508B9" w:rsidRPr="00E508B9" w:rsidRDefault="00E508B9" w:rsidP="009C56E5">
      <w:pPr>
        <w:pStyle w:val="Sinespaciado"/>
        <w:jc w:val="both"/>
        <w:rPr>
          <w:rFonts w:ascii="Times New Roman" w:hAnsi="Times New Roman"/>
          <w:b/>
          <w:sz w:val="16"/>
          <w:szCs w:val="16"/>
        </w:rPr>
      </w:pPr>
    </w:p>
    <w:p w:rsidR="009C56E5" w:rsidRPr="009C56E5" w:rsidRDefault="009C56E5" w:rsidP="009C56E5">
      <w:pPr>
        <w:pStyle w:val="Sinespaciado"/>
        <w:jc w:val="both"/>
        <w:rPr>
          <w:rFonts w:ascii="Times New Roman" w:hAnsi="Times New Roman"/>
          <w:b/>
        </w:rPr>
      </w:pPr>
      <w:r w:rsidRPr="009C56E5">
        <w:rPr>
          <w:rFonts w:ascii="Times New Roman" w:hAnsi="Times New Roman"/>
          <w:b/>
        </w:rPr>
        <w:t xml:space="preserve">Palabras clave: </w:t>
      </w:r>
      <w:r>
        <w:rPr>
          <w:rFonts w:ascii="Times New Roman" w:hAnsi="Times New Roman"/>
        </w:rPr>
        <w:t>d</w:t>
      </w:r>
      <w:r w:rsidRPr="009C56E5">
        <w:rPr>
          <w:rFonts w:ascii="Times New Roman" w:hAnsi="Times New Roman"/>
        </w:rPr>
        <w:t xml:space="preserve">irección </w:t>
      </w:r>
      <w:r>
        <w:rPr>
          <w:rFonts w:ascii="Times New Roman" w:hAnsi="Times New Roman"/>
        </w:rPr>
        <w:t>e</w:t>
      </w:r>
      <w:r w:rsidRPr="009C56E5">
        <w:rPr>
          <w:rFonts w:ascii="Times New Roman" w:hAnsi="Times New Roman"/>
        </w:rPr>
        <w:t xml:space="preserve">stratégica, enfoque </w:t>
      </w:r>
      <w:r>
        <w:rPr>
          <w:rFonts w:ascii="Times New Roman" w:hAnsi="Times New Roman"/>
        </w:rPr>
        <w:t>r</w:t>
      </w:r>
      <w:r w:rsidRPr="009C56E5">
        <w:rPr>
          <w:rFonts w:ascii="Times New Roman" w:hAnsi="Times New Roman"/>
        </w:rPr>
        <w:t xml:space="preserve">elacional – </w:t>
      </w:r>
      <w:r>
        <w:rPr>
          <w:rFonts w:ascii="Times New Roman" w:hAnsi="Times New Roman"/>
        </w:rPr>
        <w:t>p</w:t>
      </w:r>
      <w:r w:rsidRPr="009C56E5">
        <w:rPr>
          <w:rFonts w:ascii="Times New Roman" w:hAnsi="Times New Roman"/>
        </w:rPr>
        <w:t xml:space="preserve">articipativo </w:t>
      </w:r>
    </w:p>
    <w:p w:rsidR="00E508B9" w:rsidRPr="00E508B9" w:rsidRDefault="00E508B9" w:rsidP="009C56E5">
      <w:pPr>
        <w:pStyle w:val="Sinespaciad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9C56E5" w:rsidRPr="00E508B9" w:rsidRDefault="009C56E5" w:rsidP="009C56E5">
      <w:pPr>
        <w:pStyle w:val="Sinespaciado"/>
        <w:jc w:val="both"/>
        <w:rPr>
          <w:rFonts w:ascii="Times New Roman" w:hAnsi="Times New Roman"/>
        </w:rPr>
      </w:pPr>
      <w:r w:rsidRPr="009C56E5">
        <w:rPr>
          <w:rFonts w:ascii="Times New Roman" w:hAnsi="Times New Roman"/>
          <w:b/>
          <w:bCs/>
          <w:lang w:val="es-MX"/>
        </w:rPr>
        <w:t xml:space="preserve">Para acceder al artículo completo, contacte con el autor: </w:t>
      </w:r>
      <w:hyperlink r:id="rId7" w:history="1">
        <w:r w:rsidRPr="00E508B9">
          <w:rPr>
            <w:rStyle w:val="Hipervnculo"/>
            <w:rFonts w:ascii="Times New Roman" w:hAnsi="Times New Roman"/>
            <w:color w:val="auto"/>
            <w:u w:val="none"/>
          </w:rPr>
          <w:t>mariaelenagl@unah.edu.cu</w:t>
        </w:r>
      </w:hyperlink>
    </w:p>
    <w:p w:rsidR="009C56E5" w:rsidRPr="009C56E5" w:rsidRDefault="009C56E5" w:rsidP="009C56E5">
      <w:pPr>
        <w:widowControl w:val="0"/>
        <w:jc w:val="both"/>
        <w:rPr>
          <w:bCs/>
          <w:sz w:val="22"/>
          <w:szCs w:val="22"/>
        </w:rPr>
      </w:pPr>
    </w:p>
    <w:p w:rsidR="002040C0" w:rsidRPr="009C56E5" w:rsidRDefault="002040C0" w:rsidP="009C56E5">
      <w:pPr>
        <w:tabs>
          <w:tab w:val="left" w:pos="426"/>
        </w:tabs>
        <w:jc w:val="both"/>
        <w:rPr>
          <w:sz w:val="22"/>
          <w:szCs w:val="22"/>
          <w:lang w:val="es-MX"/>
        </w:rPr>
      </w:pPr>
    </w:p>
    <w:sectPr w:rsidR="002040C0" w:rsidRPr="009C56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040AB"/>
    <w:multiLevelType w:val="hybridMultilevel"/>
    <w:tmpl w:val="6866A7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625CB"/>
    <w:multiLevelType w:val="hybridMultilevel"/>
    <w:tmpl w:val="294251C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81"/>
    <w:rsid w:val="00086114"/>
    <w:rsid w:val="000C4D11"/>
    <w:rsid w:val="002040C0"/>
    <w:rsid w:val="0032236B"/>
    <w:rsid w:val="00476195"/>
    <w:rsid w:val="004D660C"/>
    <w:rsid w:val="007809F3"/>
    <w:rsid w:val="00807029"/>
    <w:rsid w:val="00967681"/>
    <w:rsid w:val="009C56E5"/>
    <w:rsid w:val="00AC361A"/>
    <w:rsid w:val="00B826D2"/>
    <w:rsid w:val="00C466A0"/>
    <w:rsid w:val="00E508B9"/>
    <w:rsid w:val="00E564C2"/>
    <w:rsid w:val="00F9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4D660C"/>
    <w:pPr>
      <w:keepNext/>
      <w:widowControl w:val="0"/>
      <w:jc w:val="both"/>
      <w:outlineLvl w:val="7"/>
    </w:pPr>
    <w:rPr>
      <w:rFonts w:ascii="Arial" w:hAnsi="Arial"/>
      <w:szCs w:val="20"/>
      <w:u w:val="single"/>
      <w:lang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67681"/>
    <w:rPr>
      <w:color w:val="0000FF"/>
      <w:u w:val="single"/>
    </w:rPr>
  </w:style>
  <w:style w:type="paragraph" w:customStyle="1" w:styleId="Default">
    <w:name w:val="Default"/>
    <w:rsid w:val="009676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med">
    <w:name w:val="med"/>
    <w:basedOn w:val="Normal"/>
    <w:rsid w:val="00967681"/>
    <w:pPr>
      <w:spacing w:before="100" w:beforeAutospacing="1" w:after="100" w:afterAutospacing="1" w:line="220" w:lineRule="atLeast"/>
    </w:pPr>
    <w:rPr>
      <w:rFonts w:ascii="Arial" w:hAnsi="Arial" w:cs="Arial"/>
      <w:color w:val="333333"/>
      <w:sz w:val="18"/>
      <w:szCs w:val="18"/>
    </w:rPr>
  </w:style>
  <w:style w:type="paragraph" w:styleId="HTMLconformatoprevio">
    <w:name w:val="HTML Preformatted"/>
    <w:basedOn w:val="Normal"/>
    <w:link w:val="HTMLconformatoprevioCar"/>
    <w:rsid w:val="009676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967681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967681"/>
    <w:pPr>
      <w:spacing w:before="100" w:beforeAutospacing="1" w:after="119"/>
    </w:pPr>
  </w:style>
  <w:style w:type="paragraph" w:customStyle="1" w:styleId="a">
    <w:basedOn w:val="Normal"/>
    <w:next w:val="Ttulo"/>
    <w:qFormat/>
    <w:rsid w:val="004D660C"/>
    <w:pPr>
      <w:jc w:val="center"/>
    </w:pPr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4D660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D66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8Car">
    <w:name w:val="Título 8 Car"/>
    <w:basedOn w:val="Fuentedeprrafopredeter"/>
    <w:link w:val="Ttulo8"/>
    <w:rsid w:val="004D660C"/>
    <w:rPr>
      <w:rFonts w:ascii="Arial" w:eastAsia="Times New Roman" w:hAnsi="Arial" w:cs="Times New Roman"/>
      <w:sz w:val="24"/>
      <w:szCs w:val="20"/>
      <w:u w:val="single"/>
      <w:lang w:eastAsia="es-ES" w:bidi="he-IL"/>
    </w:rPr>
  </w:style>
  <w:style w:type="paragraph" w:customStyle="1" w:styleId="BodyText21">
    <w:name w:val="Body Text 21"/>
    <w:basedOn w:val="Normal"/>
    <w:rsid w:val="004D660C"/>
    <w:pPr>
      <w:widowControl w:val="0"/>
      <w:jc w:val="both"/>
    </w:pPr>
    <w:rPr>
      <w:rFonts w:ascii="Arial" w:hAnsi="Arial"/>
      <w:b/>
      <w:sz w:val="22"/>
      <w:szCs w:val="20"/>
      <w:lang w:bidi="he-IL"/>
    </w:rPr>
  </w:style>
  <w:style w:type="paragraph" w:styleId="Prrafodelista">
    <w:name w:val="List Paragraph"/>
    <w:basedOn w:val="Normal"/>
    <w:uiPriority w:val="34"/>
    <w:qFormat/>
    <w:rsid w:val="004D660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Sinespaciado">
    <w:name w:val="No Spacing"/>
    <w:uiPriority w:val="99"/>
    <w:qFormat/>
    <w:rsid w:val="009C56E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4D660C"/>
    <w:pPr>
      <w:keepNext/>
      <w:widowControl w:val="0"/>
      <w:jc w:val="both"/>
      <w:outlineLvl w:val="7"/>
    </w:pPr>
    <w:rPr>
      <w:rFonts w:ascii="Arial" w:hAnsi="Arial"/>
      <w:szCs w:val="20"/>
      <w:u w:val="single"/>
      <w:lang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67681"/>
    <w:rPr>
      <w:color w:val="0000FF"/>
      <w:u w:val="single"/>
    </w:rPr>
  </w:style>
  <w:style w:type="paragraph" w:customStyle="1" w:styleId="Default">
    <w:name w:val="Default"/>
    <w:rsid w:val="009676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med">
    <w:name w:val="med"/>
    <w:basedOn w:val="Normal"/>
    <w:rsid w:val="00967681"/>
    <w:pPr>
      <w:spacing w:before="100" w:beforeAutospacing="1" w:after="100" w:afterAutospacing="1" w:line="220" w:lineRule="atLeast"/>
    </w:pPr>
    <w:rPr>
      <w:rFonts w:ascii="Arial" w:hAnsi="Arial" w:cs="Arial"/>
      <w:color w:val="333333"/>
      <w:sz w:val="18"/>
      <w:szCs w:val="18"/>
    </w:rPr>
  </w:style>
  <w:style w:type="paragraph" w:styleId="HTMLconformatoprevio">
    <w:name w:val="HTML Preformatted"/>
    <w:basedOn w:val="Normal"/>
    <w:link w:val="HTMLconformatoprevioCar"/>
    <w:rsid w:val="009676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967681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967681"/>
    <w:pPr>
      <w:spacing w:before="100" w:beforeAutospacing="1" w:after="119"/>
    </w:pPr>
  </w:style>
  <w:style w:type="paragraph" w:customStyle="1" w:styleId="a">
    <w:basedOn w:val="Normal"/>
    <w:next w:val="Ttulo"/>
    <w:qFormat/>
    <w:rsid w:val="004D660C"/>
    <w:pPr>
      <w:jc w:val="center"/>
    </w:pPr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4D660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D66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8Car">
    <w:name w:val="Título 8 Car"/>
    <w:basedOn w:val="Fuentedeprrafopredeter"/>
    <w:link w:val="Ttulo8"/>
    <w:rsid w:val="004D660C"/>
    <w:rPr>
      <w:rFonts w:ascii="Arial" w:eastAsia="Times New Roman" w:hAnsi="Arial" w:cs="Times New Roman"/>
      <w:sz w:val="24"/>
      <w:szCs w:val="20"/>
      <w:u w:val="single"/>
      <w:lang w:eastAsia="es-ES" w:bidi="he-IL"/>
    </w:rPr>
  </w:style>
  <w:style w:type="paragraph" w:customStyle="1" w:styleId="BodyText21">
    <w:name w:val="Body Text 21"/>
    <w:basedOn w:val="Normal"/>
    <w:rsid w:val="004D660C"/>
    <w:pPr>
      <w:widowControl w:val="0"/>
      <w:jc w:val="both"/>
    </w:pPr>
    <w:rPr>
      <w:rFonts w:ascii="Arial" w:hAnsi="Arial"/>
      <w:b/>
      <w:sz w:val="22"/>
      <w:szCs w:val="20"/>
      <w:lang w:bidi="he-IL"/>
    </w:rPr>
  </w:style>
  <w:style w:type="paragraph" w:styleId="Prrafodelista">
    <w:name w:val="List Paragraph"/>
    <w:basedOn w:val="Normal"/>
    <w:uiPriority w:val="34"/>
    <w:qFormat/>
    <w:rsid w:val="004D660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Sinespaciado">
    <w:name w:val="No Spacing"/>
    <w:uiPriority w:val="99"/>
    <w:qFormat/>
    <w:rsid w:val="009C56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7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ria_elenagl@unah.edu.c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flamarra@fibertel.com.a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1078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</cp:lastModifiedBy>
  <cp:revision>10</cp:revision>
  <dcterms:created xsi:type="dcterms:W3CDTF">2014-10-08T08:25:00Z</dcterms:created>
  <dcterms:modified xsi:type="dcterms:W3CDTF">2014-10-08T11:10:00Z</dcterms:modified>
</cp:coreProperties>
</file>